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0" w:afterLines="0" w:line="360" w:lineRule="auto"/>
        <w:jc w:val="both"/>
        <w:rPr>
          <w:rFonts w:hint="eastAsia" w:eastAsia="黑体"/>
          <w:kern w:val="0"/>
          <w:sz w:val="36"/>
          <w:szCs w:val="36"/>
          <w:lang w:val="en-US" w:eastAsia="zh-CN"/>
        </w:rPr>
      </w:pPr>
      <w:r>
        <w:rPr>
          <w:rFonts w:hint="eastAsia" w:eastAsia="黑体"/>
          <w:kern w:val="0"/>
          <w:sz w:val="36"/>
          <w:szCs w:val="36"/>
          <w:lang w:val="en-US" w:eastAsia="zh-CN"/>
        </w:rPr>
        <w:t xml:space="preserve">    </w:t>
      </w:r>
      <w:bookmarkStart w:id="16" w:name="_GoBack"/>
      <w:bookmarkEnd w:id="16"/>
    </w:p>
    <w:p>
      <w:pPr>
        <w:spacing w:beforeLines="0" w:afterLines="0" w:line="360" w:lineRule="auto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车联网（智能网联汽车）产业发展行动计划</w:t>
      </w:r>
    </w:p>
    <w:p>
      <w:pPr>
        <w:spacing w:beforeLines="0" w:afterLines="0" w:line="360" w:lineRule="auto"/>
        <w:ind w:firstLine="640" w:firstLineChars="200"/>
        <w:rPr>
          <w:rFonts w:eastAsia="仿宋"/>
          <w:sz w:val="32"/>
          <w:szCs w:val="30"/>
        </w:rPr>
      </w:pPr>
    </w:p>
    <w:p>
      <w:pPr>
        <w:pStyle w:val="2"/>
        <w:pBdr>
          <w:left w:val="none" w:color="auto" w:sz="0" w:space="0"/>
        </w:pBdr>
        <w:spacing w:beforeLines="0" w:afterLines="0" w:line="360" w:lineRule="auto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Cs w:val="30"/>
        </w:rPr>
        <w:t>车联网</w:t>
      </w:r>
      <w:r>
        <w:rPr>
          <w:rFonts w:hint="eastAsia" w:ascii="Times New Roman" w:hAnsi="Times New Roman" w:eastAsia="仿宋_GB2312" w:cs="Times New Roman"/>
          <w:szCs w:val="30"/>
        </w:rPr>
        <w:t>（智能网联汽车）</w:t>
      </w:r>
      <w:r>
        <w:rPr>
          <w:rFonts w:ascii="Times New Roman" w:hAnsi="Times New Roman" w:eastAsia="仿宋_GB2312" w:cs="Times New Roman"/>
          <w:szCs w:val="30"/>
        </w:rPr>
        <w:t>产业是汽车、电子、信息通信、道路交通运输等行业深度融合的新型产业形态。发展车联网产业，有利于提升汽车网联化、智能化水平，</w:t>
      </w:r>
      <w:r>
        <w:rPr>
          <w:rFonts w:hint="eastAsia" w:ascii="Times New Roman" w:hAnsi="Times New Roman" w:eastAsia="仿宋_GB2312" w:cs="Times New Roman"/>
          <w:szCs w:val="30"/>
        </w:rPr>
        <w:t>实现自动驾驶，发展智能交通</w:t>
      </w:r>
      <w:r>
        <w:rPr>
          <w:rFonts w:ascii="Times New Roman" w:hAnsi="Times New Roman" w:eastAsia="仿宋_GB2312" w:cs="Times New Roman"/>
          <w:szCs w:val="30"/>
        </w:rPr>
        <w:t>，促进信息消费，</w:t>
      </w:r>
      <w:r>
        <w:rPr>
          <w:rFonts w:ascii="Times New Roman" w:hAnsi="Times New Roman" w:eastAsia="仿宋_GB2312" w:cs="Times New Roman"/>
        </w:rPr>
        <w:t>对我国推进供给侧结构性改革、推动制造强国和网络强国建设、实现高质量发展具有重要意义。当前，我国车联网产业进入快车道，技术创新日益活跃，新型应用蓬勃发展，产业规模不断扩大，但也存在关键核心技术有待突破、产业生态亟待完善以及政策</w:t>
      </w:r>
      <w:r>
        <w:rPr>
          <w:rFonts w:hint="eastAsia" w:ascii="Times New Roman" w:hAnsi="Times New Roman" w:eastAsia="仿宋_GB2312" w:cs="Times New Roman"/>
        </w:rPr>
        <w:t>法规</w:t>
      </w:r>
      <w:r>
        <w:rPr>
          <w:rFonts w:ascii="Times New Roman" w:hAnsi="Times New Roman" w:eastAsia="仿宋_GB2312" w:cs="Times New Roman"/>
        </w:rPr>
        <w:t>需要健全等问题。为进一步促进产业持续健康发展，制定本行动计划。</w:t>
      </w:r>
    </w:p>
    <w:p>
      <w:pPr>
        <w:pStyle w:val="2"/>
        <w:pBdr>
          <w:left w:val="none" w:color="auto" w:sz="0" w:space="0"/>
        </w:pBdr>
        <w:spacing w:beforeLines="0" w:afterLines="0" w:line="360" w:lineRule="auto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一、总体要求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（一）指导思想</w:t>
      </w:r>
    </w:p>
    <w:p>
      <w:pPr>
        <w:widowControl/>
        <w:pBdr>
          <w:top w:val="none" w:color="auto" w:sz="0" w:space="1"/>
          <w:bottom w:val="none" w:color="auto" w:sz="0" w:space="2"/>
          <w:right w:val="none" w:color="auto" w:sz="0" w:space="4"/>
        </w:pBdr>
        <w:spacing w:beforeLines="0" w:afterLines="0" w:line="360" w:lineRule="auto"/>
        <w:ind w:firstLine="627" w:firstLineChars="196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以习近平新时代中国特色社会主义思想为指导，全面贯彻党的十九大和十九届二中、三中全会精神，</w:t>
      </w:r>
      <w:r>
        <w:rPr>
          <w:rFonts w:hint="eastAsia" w:eastAsia="仿宋_GB2312"/>
          <w:bCs/>
          <w:kern w:val="0"/>
          <w:sz w:val="32"/>
          <w:szCs w:val="30"/>
        </w:rPr>
        <w:t>坚持新发展理念，坚持推进高质量发展，</w:t>
      </w:r>
      <w:r>
        <w:rPr>
          <w:rFonts w:eastAsia="仿宋_GB2312"/>
          <w:bCs/>
          <w:kern w:val="0"/>
          <w:sz w:val="32"/>
          <w:szCs w:val="30"/>
        </w:rPr>
        <w:t>以网络通信技术、电子信息技术和汽车制造技术融合发展为主线，充分发挥我国网络通信产业的技术优势、电子信息产业的市场优势和汽车产业的规模优势，优化政策环境，加强跨行业合作，突破关键技术，夯实产业基础，推动形成深度融合、创新活跃、安全可信、竞争力强的车联网产业新生态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（二）基本原则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spacing w:beforeLines="0" w:afterLines="0" w:line="360" w:lineRule="auto"/>
        <w:ind w:firstLine="687" w:firstLineChars="214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sz w:val="32"/>
          <w:szCs w:val="30"/>
        </w:rPr>
        <w:t>系统部署、统筹推进。</w:t>
      </w:r>
      <w:r>
        <w:rPr>
          <w:rFonts w:eastAsia="仿宋_GB2312"/>
          <w:bCs/>
          <w:kern w:val="0"/>
          <w:sz w:val="32"/>
          <w:szCs w:val="30"/>
        </w:rPr>
        <w:t>加强顶层设计，完善部门协同和部省联动，做好战略部署和分阶段实施。统筹推动关键技术研发、标准</w:t>
      </w:r>
      <w:r>
        <w:rPr>
          <w:rFonts w:hint="eastAsia" w:eastAsia="仿宋_GB2312"/>
          <w:bCs/>
          <w:kern w:val="0"/>
          <w:sz w:val="32"/>
          <w:szCs w:val="30"/>
        </w:rPr>
        <w:t>规范制定、</w:t>
      </w:r>
      <w:r>
        <w:rPr>
          <w:rFonts w:eastAsia="仿宋_GB2312"/>
          <w:bCs/>
          <w:kern w:val="0"/>
          <w:sz w:val="32"/>
          <w:szCs w:val="30"/>
        </w:rPr>
        <w:t>测试</w:t>
      </w:r>
      <w:r>
        <w:rPr>
          <w:rFonts w:hint="eastAsia" w:eastAsia="仿宋_GB2312"/>
          <w:bCs/>
          <w:kern w:val="0"/>
          <w:sz w:val="32"/>
          <w:szCs w:val="30"/>
        </w:rPr>
        <w:t>示范推广</w:t>
      </w:r>
      <w:r>
        <w:rPr>
          <w:rFonts w:eastAsia="仿宋_GB2312"/>
          <w:bCs/>
          <w:kern w:val="0"/>
          <w:sz w:val="32"/>
          <w:szCs w:val="30"/>
        </w:rPr>
        <w:t>和基础设施建设，构建产业健康发展的环境和基础。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spacing w:beforeLines="0" w:afterLines="0" w:line="360" w:lineRule="auto"/>
        <w:ind w:firstLine="687" w:firstLineChars="214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sz w:val="32"/>
          <w:szCs w:val="30"/>
        </w:rPr>
        <w:t>创新引领、应用驱动。</w:t>
      </w:r>
      <w:r>
        <w:rPr>
          <w:rFonts w:eastAsia="仿宋_GB2312"/>
          <w:bCs/>
          <w:kern w:val="0"/>
          <w:sz w:val="32"/>
          <w:szCs w:val="30"/>
        </w:rPr>
        <w:t>推动跨行业协同创新，充分调动</w:t>
      </w:r>
      <w:r>
        <w:rPr>
          <w:rFonts w:hint="eastAsia" w:eastAsia="仿宋_GB2312"/>
          <w:bCs/>
          <w:kern w:val="0"/>
          <w:sz w:val="32"/>
          <w:szCs w:val="30"/>
        </w:rPr>
        <w:t>各方</w:t>
      </w:r>
      <w:r>
        <w:rPr>
          <w:rFonts w:eastAsia="仿宋_GB2312"/>
          <w:bCs/>
          <w:kern w:val="0"/>
          <w:sz w:val="32"/>
          <w:szCs w:val="30"/>
        </w:rPr>
        <w:t>力量，加强产学研合作，突破技术瓶颈，不断提升创新能力。夯实产业基础，培育创新应用，提升用户规模，加快形成产业创新发展新生态。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spacing w:beforeLines="0" w:afterLines="0" w:line="360" w:lineRule="auto"/>
        <w:ind w:firstLine="687" w:firstLineChars="214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sz w:val="32"/>
          <w:szCs w:val="30"/>
        </w:rPr>
        <w:t>优势互补、开放合作。</w:t>
      </w:r>
      <w:r>
        <w:rPr>
          <w:rFonts w:eastAsia="仿宋_GB2312"/>
          <w:bCs/>
          <w:kern w:val="0"/>
          <w:sz w:val="32"/>
          <w:szCs w:val="30"/>
        </w:rPr>
        <w:t>推动产业合作、平台互通、系统互联，构建优势互补、融合发展的产业新格局。加强国际交流与合作，共同推动汽车产业升级和应用模式的转换。</w:t>
      </w:r>
    </w:p>
    <w:p>
      <w:pPr>
        <w:widowControl/>
        <w:spacing w:beforeLines="0" w:afterLines="0" w:line="360" w:lineRule="auto"/>
        <w:ind w:firstLine="643" w:firstLineChars="200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sz w:val="32"/>
          <w:szCs w:val="30"/>
        </w:rPr>
        <w:t>强化管理、保障安全。</w:t>
      </w:r>
      <w:r>
        <w:rPr>
          <w:rFonts w:eastAsia="仿宋_GB2312"/>
          <w:bCs/>
          <w:kern w:val="0"/>
          <w:sz w:val="32"/>
          <w:szCs w:val="30"/>
        </w:rPr>
        <w:t>明确主体责任，健全管理制度，强化防护机制，构建确保人身安全的管理体系。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（三）行动目标</w:t>
      </w:r>
    </w:p>
    <w:p>
      <w:pPr>
        <w:widowControl/>
        <w:spacing w:beforeLines="0" w:afterLines="0" w:line="360" w:lineRule="auto"/>
        <w:ind w:firstLine="640" w:firstLineChars="200"/>
        <w:rPr>
          <w:rFonts w:eastAsia="仿宋_GB2312"/>
          <w:bCs/>
          <w:kern w:val="0"/>
          <w:sz w:val="32"/>
          <w:szCs w:val="30"/>
        </w:rPr>
      </w:pPr>
      <w:bookmarkStart w:id="0" w:name="_Hlk484594935"/>
      <w:r>
        <w:rPr>
          <w:rFonts w:hint="eastAsia" w:eastAsia="仿宋_GB2312"/>
          <w:bCs/>
          <w:kern w:val="0"/>
          <w:sz w:val="32"/>
          <w:szCs w:val="30"/>
        </w:rPr>
        <w:t>到</w:t>
      </w:r>
      <w:r>
        <w:rPr>
          <w:rFonts w:eastAsia="仿宋_GB2312"/>
          <w:bCs/>
          <w:kern w:val="0"/>
          <w:sz w:val="32"/>
          <w:szCs w:val="30"/>
        </w:rPr>
        <w:t>2020</w:t>
      </w:r>
      <w:r>
        <w:rPr>
          <w:rFonts w:hint="eastAsia" w:eastAsia="仿宋_GB2312"/>
          <w:bCs/>
          <w:kern w:val="0"/>
          <w:sz w:val="32"/>
          <w:szCs w:val="30"/>
        </w:rPr>
        <w:t>年，实现车联网（智能网联汽车）产业</w:t>
      </w:r>
      <w:r>
        <w:rPr>
          <w:rFonts w:hint="default" w:eastAsia="仿宋_GB2312"/>
          <w:bCs/>
          <w:kern w:val="0"/>
          <w:sz w:val="32"/>
          <w:szCs w:val="30"/>
        </w:rPr>
        <w:t>跨行业融合取得</w:t>
      </w:r>
      <w:r>
        <w:rPr>
          <w:rFonts w:hint="eastAsia" w:eastAsia="仿宋_GB2312"/>
          <w:bCs/>
          <w:kern w:val="0"/>
          <w:sz w:val="32"/>
          <w:szCs w:val="30"/>
        </w:rPr>
        <w:t>突破，具备</w:t>
      </w:r>
      <w:bookmarkStart w:id="1" w:name="_Hlk532577788"/>
      <w:r>
        <w:rPr>
          <w:rFonts w:hint="eastAsia" w:eastAsia="仿宋_GB2312"/>
          <w:bCs/>
          <w:kern w:val="0"/>
          <w:sz w:val="32"/>
          <w:szCs w:val="30"/>
        </w:rPr>
        <w:t>高级别自动驾驶功能的智能网联汽车实现</w:t>
      </w:r>
      <w:bookmarkEnd w:id="1"/>
      <w:r>
        <w:rPr>
          <w:rFonts w:hint="eastAsia" w:eastAsia="仿宋_GB2312"/>
          <w:bCs/>
          <w:kern w:val="0"/>
          <w:sz w:val="32"/>
          <w:szCs w:val="30"/>
        </w:rPr>
        <w:t>特定场景规模应用，</w:t>
      </w:r>
      <w:r>
        <w:rPr>
          <w:rFonts w:hint="default" w:eastAsia="仿宋_GB2312"/>
          <w:bCs/>
          <w:kern w:val="0"/>
          <w:sz w:val="32"/>
          <w:szCs w:val="30"/>
        </w:rPr>
        <w:t>车联网</w:t>
      </w:r>
      <w:r>
        <w:rPr>
          <w:rFonts w:hint="eastAsia" w:eastAsia="仿宋_GB2312"/>
          <w:bCs/>
          <w:kern w:val="0"/>
          <w:sz w:val="32"/>
          <w:szCs w:val="30"/>
        </w:rPr>
        <w:t>综合应用体系基本构建，用户渗透率大幅提高，智能道路基础设施水平明显提升，</w:t>
      </w:r>
      <w:r>
        <w:rPr>
          <w:rFonts w:hint="eastAsia" w:eastAsia="仿宋_GB2312"/>
          <w:bCs/>
          <w:kern w:val="0"/>
          <w:sz w:val="32"/>
          <w:szCs w:val="30"/>
          <w:lang w:val="en-US"/>
        </w:rPr>
        <w:t>适应产业发展的政策法规、标准规范和安全保障体系初步建立，</w:t>
      </w:r>
      <w:r>
        <w:rPr>
          <w:rFonts w:hint="eastAsia" w:eastAsia="仿宋_GB2312"/>
          <w:bCs/>
          <w:kern w:val="0"/>
          <w:sz w:val="32"/>
          <w:szCs w:val="30"/>
        </w:rPr>
        <w:t>开放融合、创新发展的产业生态基本形成，满足人民群众多样化、个性化、不断升级的消费需求。</w:t>
      </w:r>
    </w:p>
    <w:bookmarkEnd w:id="0"/>
    <w:p>
      <w:pPr>
        <w:pBdr>
          <w:top w:val="none" w:color="auto" w:sz="0" w:space="2"/>
          <w:bottom w:val="none" w:color="auto" w:sz="0" w:space="1"/>
          <w:right w:val="none" w:color="auto" w:sz="0" w:space="4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bCs/>
          <w:color w:val="000000"/>
          <w:kern w:val="0"/>
          <w:sz w:val="32"/>
          <w:szCs w:val="32"/>
        </w:rPr>
        <w:t>——关键技术。</w:t>
      </w:r>
      <w:r>
        <w:rPr>
          <w:rFonts w:eastAsia="仿宋_GB2312"/>
          <w:bCs/>
          <w:kern w:val="0"/>
          <w:sz w:val="32"/>
          <w:szCs w:val="30"/>
        </w:rPr>
        <w:t>构建能够支撑有条件自动驾驶</w:t>
      </w:r>
      <w:r>
        <w:rPr>
          <w:rFonts w:hint="eastAsia" w:eastAsia="仿宋_GB2312"/>
          <w:bCs/>
          <w:kern w:val="0"/>
          <w:sz w:val="32"/>
          <w:szCs w:val="30"/>
        </w:rPr>
        <w:t>（L3级）</w:t>
      </w:r>
      <w:r>
        <w:rPr>
          <w:rFonts w:eastAsia="仿宋_GB2312"/>
          <w:bCs/>
          <w:kern w:val="0"/>
          <w:sz w:val="32"/>
          <w:szCs w:val="30"/>
        </w:rPr>
        <w:t>及以上的智能网联汽车技术体系，形成安全</w:t>
      </w:r>
      <w:r>
        <w:rPr>
          <w:rFonts w:hint="eastAsia" w:eastAsia="仿宋_GB2312"/>
          <w:bCs/>
          <w:kern w:val="0"/>
          <w:sz w:val="32"/>
          <w:szCs w:val="30"/>
        </w:rPr>
        <w:t>可信</w:t>
      </w:r>
      <w:r>
        <w:rPr>
          <w:rFonts w:eastAsia="仿宋_GB2312"/>
          <w:bCs/>
          <w:kern w:val="0"/>
          <w:sz w:val="32"/>
          <w:szCs w:val="30"/>
        </w:rPr>
        <w:t>的软硬件集成与应用能力。</w:t>
      </w:r>
      <w:r>
        <w:rPr>
          <w:rFonts w:hint="eastAsia" w:eastAsia="仿宋_GB2312"/>
          <w:bCs/>
          <w:kern w:val="0"/>
          <w:sz w:val="32"/>
          <w:szCs w:val="30"/>
        </w:rPr>
        <w:t>智能网联汽车计算基础平台、</w:t>
      </w:r>
      <w:r>
        <w:rPr>
          <w:rFonts w:hint="default" w:eastAsia="仿宋_GB2312"/>
          <w:bCs/>
          <w:kern w:val="0"/>
          <w:sz w:val="32"/>
          <w:szCs w:val="30"/>
        </w:rPr>
        <w:t>平台</w:t>
      </w:r>
      <w:r>
        <w:rPr>
          <w:rFonts w:hint="eastAsia" w:eastAsia="仿宋_GB2312"/>
          <w:bCs/>
          <w:kern w:val="0"/>
          <w:sz w:val="32"/>
          <w:szCs w:val="30"/>
        </w:rPr>
        <w:t>线控</w:t>
      </w:r>
      <w:r>
        <w:rPr>
          <w:rFonts w:hint="default" w:eastAsia="仿宋_GB2312"/>
          <w:bCs/>
          <w:kern w:val="0"/>
          <w:sz w:val="32"/>
          <w:szCs w:val="30"/>
        </w:rPr>
        <w:t>、智能驱动</w:t>
      </w:r>
      <w:r>
        <w:rPr>
          <w:rFonts w:hint="eastAsia" w:eastAsia="仿宋_GB2312"/>
          <w:bCs/>
          <w:kern w:val="0"/>
          <w:sz w:val="32"/>
          <w:szCs w:val="30"/>
        </w:rPr>
        <w:t>等核心技术有所突破，L3级集成技术水平大幅提升。实现</w:t>
      </w:r>
      <w:r>
        <w:rPr>
          <w:rFonts w:eastAsia="仿宋_GB2312"/>
          <w:bCs/>
          <w:kern w:val="0"/>
          <w:sz w:val="32"/>
          <w:szCs w:val="30"/>
        </w:rPr>
        <w:t>基于第四代移动通信技术设计的车联网无线通信技术（LTE-V2X）产业化与商用部署，加快基于第五代移动通信技术设计的车联网无线通信技术（5G-V2X）等关键技术研发</w:t>
      </w:r>
      <w:r>
        <w:rPr>
          <w:rFonts w:hint="eastAsia" w:eastAsia="仿宋_GB2312"/>
          <w:bCs/>
          <w:kern w:val="0"/>
          <w:sz w:val="32"/>
          <w:szCs w:val="30"/>
        </w:rPr>
        <w:t>及部分场景下的商业化应用，</w:t>
      </w:r>
      <w:r>
        <w:rPr>
          <w:rFonts w:eastAsia="仿宋_GB2312"/>
          <w:bCs/>
          <w:kern w:val="0"/>
          <w:sz w:val="32"/>
          <w:szCs w:val="30"/>
        </w:rPr>
        <w:t>构建通信和计算相结合的车联网体系架构。</w:t>
      </w:r>
    </w:p>
    <w:p>
      <w:pPr>
        <w:widowControl/>
        <w:pBdr>
          <w:top w:val="none" w:color="auto" w:sz="0" w:space="1"/>
          <w:bottom w:val="none" w:color="auto" w:sz="0" w:space="2"/>
          <w:right w:val="none" w:color="auto" w:sz="0" w:space="1"/>
        </w:pBdr>
        <w:spacing w:beforeLines="0" w:afterLines="0" w:line="360" w:lineRule="auto"/>
        <w:ind w:firstLine="643" w:firstLineChars="200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bCs/>
          <w:color w:val="000000"/>
          <w:kern w:val="0"/>
          <w:sz w:val="32"/>
          <w:szCs w:val="32"/>
        </w:rPr>
        <w:t>——标准</w:t>
      </w:r>
      <w:bookmarkStart w:id="2" w:name="_Toc417901115"/>
      <w:bookmarkStart w:id="3" w:name="_Toc422503759"/>
      <w:bookmarkStart w:id="4" w:name="_Toc422515392"/>
      <w:r>
        <w:rPr>
          <w:rFonts w:eastAsia="楷体"/>
          <w:b/>
          <w:bCs/>
          <w:color w:val="000000"/>
          <w:kern w:val="0"/>
          <w:sz w:val="32"/>
          <w:szCs w:val="32"/>
        </w:rPr>
        <w:t>体系。</w:t>
      </w:r>
      <w:r>
        <w:rPr>
          <w:rFonts w:eastAsia="仿宋_GB2312"/>
          <w:bCs/>
          <w:kern w:val="0"/>
          <w:sz w:val="32"/>
          <w:szCs w:val="30"/>
        </w:rPr>
        <w:t>完成车联网（智能网联汽车）关键标准制定</w:t>
      </w:r>
      <w:bookmarkEnd w:id="2"/>
      <w:bookmarkEnd w:id="3"/>
      <w:bookmarkEnd w:id="4"/>
      <w:r>
        <w:rPr>
          <w:rFonts w:eastAsia="仿宋_GB2312"/>
          <w:bCs/>
          <w:kern w:val="0"/>
          <w:sz w:val="32"/>
          <w:szCs w:val="30"/>
        </w:rPr>
        <w:t>，大幅</w:t>
      </w:r>
      <w:r>
        <w:rPr>
          <w:rFonts w:hint="eastAsia" w:eastAsia="仿宋_GB2312"/>
          <w:bCs/>
          <w:kern w:val="0"/>
          <w:sz w:val="32"/>
          <w:szCs w:val="30"/>
        </w:rPr>
        <w:t>增加标准有效供给，</w:t>
      </w:r>
      <w:r>
        <w:rPr>
          <w:rFonts w:eastAsia="仿宋_GB2312"/>
          <w:bCs/>
          <w:kern w:val="0"/>
          <w:sz w:val="32"/>
          <w:szCs w:val="30"/>
        </w:rPr>
        <w:t>健全产业标准体系</w:t>
      </w:r>
      <w:r>
        <w:rPr>
          <w:rFonts w:hint="eastAsia" w:eastAsia="仿宋_GB2312"/>
          <w:bCs/>
          <w:kern w:val="0"/>
          <w:sz w:val="32"/>
          <w:szCs w:val="30"/>
        </w:rPr>
        <w:t>。提升</w:t>
      </w:r>
      <w:r>
        <w:rPr>
          <w:rFonts w:eastAsia="仿宋_GB2312"/>
          <w:bCs/>
          <w:kern w:val="0"/>
          <w:sz w:val="32"/>
          <w:szCs w:val="30"/>
        </w:rPr>
        <w:t>综合测试验证能力，</w:t>
      </w:r>
      <w:r>
        <w:rPr>
          <w:rFonts w:hint="eastAsia" w:eastAsia="仿宋_GB2312"/>
          <w:bCs/>
          <w:kern w:val="0"/>
          <w:sz w:val="32"/>
          <w:szCs w:val="30"/>
        </w:rPr>
        <w:t>完善测试评价体系</w:t>
      </w:r>
      <w:r>
        <w:rPr>
          <w:rFonts w:eastAsia="仿宋_GB2312"/>
          <w:bCs/>
          <w:kern w:val="0"/>
          <w:sz w:val="32"/>
          <w:szCs w:val="30"/>
        </w:rPr>
        <w:t>，构建场景数据库，</w:t>
      </w:r>
      <w:r>
        <w:rPr>
          <w:rFonts w:hint="eastAsia" w:eastAsia="仿宋_GB2312"/>
          <w:bCs/>
          <w:kern w:val="0"/>
          <w:sz w:val="32"/>
          <w:szCs w:val="30"/>
        </w:rPr>
        <w:t>形成测试规范统一</w:t>
      </w:r>
      <w:r>
        <w:rPr>
          <w:rFonts w:hint="default" w:eastAsia="仿宋_GB2312"/>
          <w:bCs/>
          <w:kern w:val="0"/>
          <w:sz w:val="32"/>
          <w:szCs w:val="30"/>
        </w:rPr>
        <w:t>和数据共享，形成一批区域性、有特色、先导性的示范应用</w:t>
      </w:r>
      <w:r>
        <w:rPr>
          <w:rFonts w:eastAsia="仿宋_GB2312"/>
          <w:bCs/>
          <w:kern w:val="0"/>
          <w:sz w:val="32"/>
          <w:szCs w:val="30"/>
        </w:rPr>
        <w:t>。</w:t>
      </w:r>
    </w:p>
    <w:p>
      <w:pPr>
        <w:spacing w:beforeLines="0" w:afterLines="0" w:line="360" w:lineRule="auto"/>
        <w:ind w:firstLine="0" w:firstLineChars="0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bCs/>
          <w:color w:val="000000"/>
          <w:kern w:val="0"/>
          <w:sz w:val="32"/>
          <w:szCs w:val="32"/>
        </w:rPr>
        <w:t xml:space="preserve">    ——基础设施。</w:t>
      </w:r>
      <w:r>
        <w:rPr>
          <w:rFonts w:eastAsia="仿宋_GB2312"/>
          <w:bCs/>
          <w:kern w:val="0"/>
          <w:sz w:val="32"/>
          <w:szCs w:val="30"/>
        </w:rPr>
        <w:t>实现LTE-V2X在部分高速公路和城市主要道路的覆盖，开展5G-V2X示范应用</w:t>
      </w:r>
      <w:r>
        <w:rPr>
          <w:rFonts w:hint="eastAsia" w:eastAsia="仿宋_GB2312"/>
          <w:bCs/>
          <w:kern w:val="0"/>
          <w:sz w:val="32"/>
          <w:szCs w:val="30"/>
        </w:rPr>
        <w:t>，建设窄带物联网（</w:t>
      </w:r>
      <w:r>
        <w:rPr>
          <w:rFonts w:eastAsia="仿宋_GB2312"/>
          <w:bCs/>
          <w:kern w:val="0"/>
          <w:sz w:val="32"/>
          <w:szCs w:val="30"/>
        </w:rPr>
        <w:t>NB-IoT</w:t>
      </w:r>
      <w:r>
        <w:rPr>
          <w:rFonts w:hint="eastAsia" w:eastAsia="仿宋_GB2312"/>
          <w:bCs/>
          <w:kern w:val="0"/>
          <w:sz w:val="32"/>
          <w:szCs w:val="30"/>
        </w:rPr>
        <w:t>）网络，</w:t>
      </w:r>
      <w:r>
        <w:rPr>
          <w:rFonts w:eastAsia="仿宋_GB2312"/>
          <w:bCs/>
          <w:kern w:val="0"/>
          <w:sz w:val="32"/>
          <w:szCs w:val="30"/>
        </w:rPr>
        <w:t>构建车路协同环境</w:t>
      </w:r>
      <w:r>
        <w:rPr>
          <w:rFonts w:hint="eastAsia" w:eastAsia="仿宋_GB2312"/>
          <w:bCs/>
          <w:kern w:val="0"/>
          <w:sz w:val="32"/>
          <w:szCs w:val="30"/>
        </w:rPr>
        <w:t>，提升车用高精度时空服务的规模化应用水平，</w:t>
      </w:r>
      <w:r>
        <w:rPr>
          <w:rFonts w:eastAsia="仿宋_GB2312"/>
          <w:bCs/>
          <w:kern w:val="0"/>
          <w:sz w:val="32"/>
          <w:szCs w:val="30"/>
        </w:rPr>
        <w:t>为车联网、自动驾驶等新技术应用提供必要条件。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bCs/>
          <w:color w:val="000000"/>
          <w:kern w:val="0"/>
          <w:sz w:val="32"/>
          <w:szCs w:val="32"/>
        </w:rPr>
        <w:t>——应用服务。</w:t>
      </w:r>
      <w:r>
        <w:rPr>
          <w:rFonts w:eastAsia="仿宋_GB2312"/>
          <w:bCs/>
          <w:kern w:val="0"/>
          <w:sz w:val="32"/>
          <w:szCs w:val="30"/>
        </w:rPr>
        <w:t>车联网用户渗透率达到30%以上，</w:t>
      </w:r>
      <w:bookmarkStart w:id="5" w:name="_Hlk532575355"/>
      <w:r>
        <w:rPr>
          <w:rFonts w:hint="eastAsia" w:eastAsia="仿宋_GB2312"/>
          <w:bCs/>
          <w:kern w:val="0"/>
          <w:sz w:val="32"/>
          <w:szCs w:val="30"/>
        </w:rPr>
        <w:t>新车驾驶辅助系统（L2）搭载率达到30%以上，</w:t>
      </w:r>
      <w:bookmarkEnd w:id="5"/>
      <w:r>
        <w:rPr>
          <w:rFonts w:eastAsia="仿宋_GB2312"/>
          <w:bCs/>
          <w:kern w:val="0"/>
          <w:sz w:val="32"/>
          <w:szCs w:val="30"/>
        </w:rPr>
        <w:t>联网车载信息服务终端的新车装配率达到60%以上，构建涵盖信息服务、安全与能效应用等的综合应用体系。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楷体"/>
          <w:b/>
          <w:bCs/>
          <w:color w:val="000000"/>
          <w:kern w:val="0"/>
          <w:sz w:val="32"/>
          <w:szCs w:val="32"/>
        </w:rPr>
        <w:t>——安全保障。</w:t>
      </w:r>
      <w:r>
        <w:rPr>
          <w:rFonts w:eastAsia="仿宋_GB2312"/>
          <w:bCs/>
          <w:kern w:val="0"/>
          <w:sz w:val="32"/>
          <w:szCs w:val="30"/>
        </w:rPr>
        <w:t>产业安全管理体系初步形成，安全管理制度与安全防护机制落地实施，安全技术及产品研发取得阶段性成果，安全技术支撑手段建设初见成效，安全保障和服务能力逐步完善。</w:t>
      </w:r>
    </w:p>
    <w:p>
      <w:pPr>
        <w:widowControl/>
        <w:spacing w:beforeLines="0" w:afterLines="0" w:line="360" w:lineRule="auto"/>
        <w:ind w:firstLine="640" w:firstLineChars="200"/>
        <w:rPr>
          <w:rFonts w:eastAsia="仿宋_GB2312"/>
          <w:bCs/>
          <w:kern w:val="0"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2</w:t>
      </w:r>
      <w:r>
        <w:rPr>
          <w:rFonts w:eastAsia="仿宋_GB2312"/>
          <w:bCs/>
          <w:kern w:val="0"/>
          <w:sz w:val="32"/>
          <w:szCs w:val="30"/>
        </w:rPr>
        <w:t>020</w:t>
      </w:r>
      <w:r>
        <w:rPr>
          <w:rFonts w:hint="eastAsia" w:eastAsia="仿宋_GB2312"/>
          <w:bCs/>
          <w:kern w:val="0"/>
          <w:sz w:val="32"/>
          <w:szCs w:val="30"/>
        </w:rPr>
        <w:t>年后，通过持续努力，推动车联网产业实现跨越发展，技术创新、标准体系、基础设施、应用服务和安全保障体系全面建成，高级别自动驾驶功能的智能网联汽车和5G-V2X逐步实现规模化商业应用</w:t>
      </w:r>
      <w:r>
        <w:rPr>
          <w:rFonts w:eastAsia="仿宋_GB2312"/>
          <w:bCs/>
          <w:kern w:val="0"/>
          <w:sz w:val="32"/>
          <w:szCs w:val="30"/>
        </w:rPr>
        <w:t>，“</w:t>
      </w:r>
      <w:r>
        <w:rPr>
          <w:rFonts w:hint="eastAsia" w:eastAsia="仿宋_GB2312"/>
          <w:bCs/>
          <w:kern w:val="0"/>
          <w:sz w:val="32"/>
          <w:szCs w:val="30"/>
        </w:rPr>
        <w:t>人</w:t>
      </w:r>
      <w:r>
        <w:rPr>
          <w:rFonts w:eastAsia="仿宋_GB2312"/>
          <w:bCs/>
          <w:kern w:val="0"/>
          <w:sz w:val="32"/>
          <w:szCs w:val="30"/>
        </w:rPr>
        <w:t>-</w:t>
      </w:r>
      <w:r>
        <w:rPr>
          <w:rFonts w:hint="eastAsia" w:eastAsia="仿宋_GB2312"/>
          <w:bCs/>
          <w:kern w:val="0"/>
          <w:sz w:val="32"/>
          <w:szCs w:val="30"/>
        </w:rPr>
        <w:t>车</w:t>
      </w:r>
      <w:r>
        <w:rPr>
          <w:rFonts w:eastAsia="仿宋_GB2312"/>
          <w:bCs/>
          <w:kern w:val="0"/>
          <w:sz w:val="32"/>
          <w:szCs w:val="30"/>
        </w:rPr>
        <w:t>-</w:t>
      </w:r>
      <w:r>
        <w:rPr>
          <w:rFonts w:hint="eastAsia" w:eastAsia="仿宋_GB2312"/>
          <w:bCs/>
          <w:kern w:val="0"/>
          <w:sz w:val="32"/>
          <w:szCs w:val="30"/>
        </w:rPr>
        <w:t>路</w:t>
      </w:r>
      <w:r>
        <w:rPr>
          <w:rFonts w:eastAsia="仿宋_GB2312"/>
          <w:bCs/>
          <w:kern w:val="0"/>
          <w:sz w:val="32"/>
          <w:szCs w:val="30"/>
        </w:rPr>
        <w:t>-</w:t>
      </w:r>
      <w:r>
        <w:rPr>
          <w:rFonts w:hint="eastAsia" w:eastAsia="仿宋_GB2312"/>
          <w:bCs/>
          <w:kern w:val="0"/>
          <w:sz w:val="32"/>
          <w:szCs w:val="30"/>
        </w:rPr>
        <w:t>云</w:t>
      </w:r>
      <w:r>
        <w:rPr>
          <w:rFonts w:eastAsia="仿宋_GB2312"/>
          <w:bCs/>
          <w:kern w:val="0"/>
          <w:sz w:val="32"/>
          <w:szCs w:val="30"/>
        </w:rPr>
        <w:t>”</w:t>
      </w:r>
      <w:r>
        <w:rPr>
          <w:rFonts w:hint="eastAsia" w:eastAsia="仿宋_GB2312"/>
          <w:bCs/>
          <w:kern w:val="0"/>
          <w:sz w:val="32"/>
          <w:szCs w:val="30"/>
        </w:rPr>
        <w:t>实现高度协同，人民群众日益增长的美好生活需求得到更好满足。</w:t>
      </w:r>
    </w:p>
    <w:p>
      <w:pPr>
        <w:pStyle w:val="2"/>
        <w:spacing w:beforeLines="0" w:afterLines="0" w:line="360" w:lineRule="auto"/>
        <w:ind w:firstLine="640"/>
      </w:pPr>
      <w:r>
        <w:rPr>
          <w:rFonts w:ascii="Times New Roman" w:hAnsi="Times New Roman" w:cs="Times New Roman"/>
          <w:color w:val="000000"/>
        </w:rPr>
        <w:t>二、突破</w:t>
      </w:r>
      <w:bookmarkStart w:id="6" w:name="OLE_LINK15"/>
      <w:bookmarkStart w:id="7" w:name="OLE_LINK16"/>
      <w:r>
        <w:rPr>
          <w:rFonts w:ascii="Times New Roman" w:hAnsi="Times New Roman" w:cs="Times New Roman"/>
          <w:color w:val="000000"/>
        </w:rPr>
        <w:t>关键技术，推动产业化发展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  <w:color w:val="000000"/>
          <w:highlight w:val="green"/>
        </w:rPr>
      </w:pPr>
      <w:bookmarkStart w:id="8" w:name="_Hlk532568872"/>
      <w:r>
        <w:rPr>
          <w:rFonts w:ascii="Times New Roman" w:hAnsi="Times New Roman" w:cs="Times New Roman"/>
          <w:color w:val="000000"/>
        </w:rPr>
        <w:t>（一）</w:t>
      </w:r>
      <w:r>
        <w:rPr>
          <w:rFonts w:hint="eastAsia" w:ascii="Times New Roman" w:hAnsi="Times New Roman" w:cs="Times New Roman"/>
          <w:color w:val="000000"/>
        </w:rPr>
        <w:t>加快智能网联</w:t>
      </w:r>
      <w:r>
        <w:rPr>
          <w:rFonts w:hint="default" w:ascii="Times New Roman" w:hAnsi="Times New Roman" w:cs="Times New Roman"/>
          <w:color w:val="000000"/>
        </w:rPr>
        <w:t>汽车关键核心</w:t>
      </w:r>
      <w:r>
        <w:rPr>
          <w:rFonts w:hint="eastAsia" w:ascii="Times New Roman" w:hAnsi="Times New Roman" w:cs="Times New Roman"/>
          <w:color w:val="000000"/>
        </w:rPr>
        <w:t>技术攻关</w:t>
      </w:r>
    </w:p>
    <w:p>
      <w:pPr>
        <w:spacing w:beforeLines="0" w:afterLines="0" w:line="360" w:lineRule="auto"/>
        <w:ind w:firstLine="640" w:firstLineChars="200"/>
        <w:rPr>
          <w:rFonts w:eastAsia="仿宋_GB2312"/>
          <w:bCs/>
          <w:kern w:val="0"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充分利用各种创新资源，</w:t>
      </w:r>
      <w:r>
        <w:rPr>
          <w:rFonts w:hint="default" w:eastAsia="仿宋_GB2312"/>
          <w:bCs/>
          <w:kern w:val="0"/>
          <w:sz w:val="32"/>
          <w:szCs w:val="30"/>
        </w:rPr>
        <w:t>加快智能网联汽车关键零部件及系统开发应用，</w:t>
      </w:r>
      <w:r>
        <w:rPr>
          <w:rFonts w:hint="eastAsia" w:eastAsia="仿宋_GB2312"/>
          <w:bCs/>
          <w:kern w:val="0"/>
          <w:sz w:val="32"/>
          <w:szCs w:val="30"/>
        </w:rPr>
        <w:t>重点突破智能网联汽车复杂环境感知、新型电子电气架构、</w:t>
      </w:r>
      <w:r>
        <w:rPr>
          <w:rFonts w:hint="default" w:eastAsia="仿宋_GB2312"/>
          <w:bCs/>
          <w:kern w:val="0"/>
          <w:sz w:val="32"/>
          <w:szCs w:val="30"/>
        </w:rPr>
        <w:t>车辆平台线控</w:t>
      </w:r>
      <w:r>
        <w:rPr>
          <w:rFonts w:hint="eastAsia" w:eastAsia="仿宋_GB2312"/>
          <w:bCs/>
          <w:kern w:val="0"/>
          <w:sz w:val="32"/>
          <w:szCs w:val="30"/>
        </w:rPr>
        <w:t>等核心技术</w:t>
      </w:r>
      <w:r>
        <w:rPr>
          <w:rFonts w:hint="default" w:eastAsia="仿宋_GB2312"/>
          <w:bCs/>
          <w:kern w:val="0"/>
          <w:sz w:val="32"/>
          <w:szCs w:val="30"/>
        </w:rPr>
        <w:t>。</w:t>
      </w:r>
      <w:r>
        <w:rPr>
          <w:rFonts w:hint="eastAsia" w:eastAsia="仿宋_GB2312"/>
          <w:bCs/>
          <w:kern w:val="0"/>
          <w:sz w:val="32"/>
          <w:szCs w:val="30"/>
        </w:rPr>
        <w:t>加快车载视觉系统、</w:t>
      </w:r>
      <w:r>
        <w:rPr>
          <w:rFonts w:hint="default" w:eastAsia="仿宋_GB2312"/>
          <w:bCs/>
          <w:kern w:val="0"/>
          <w:sz w:val="32"/>
          <w:szCs w:val="30"/>
        </w:rPr>
        <w:t>激光</w:t>
      </w:r>
      <w:r>
        <w:rPr>
          <w:rFonts w:hint="default" w:eastAsia="仿宋_GB2312"/>
          <w:bCs/>
          <w:kern w:val="0"/>
          <w:sz w:val="32"/>
          <w:szCs w:val="30"/>
          <w:highlight w:val="none"/>
        </w:rPr>
        <w:t>/毫米波</w:t>
      </w:r>
      <w:r>
        <w:rPr>
          <w:rFonts w:hint="default" w:eastAsia="仿宋_GB2312"/>
          <w:bCs/>
          <w:kern w:val="0"/>
          <w:sz w:val="32"/>
          <w:szCs w:val="30"/>
        </w:rPr>
        <w:t>雷达</w:t>
      </w:r>
      <w:r>
        <w:rPr>
          <w:rFonts w:hint="eastAsia" w:eastAsia="仿宋_GB2312"/>
          <w:bCs/>
          <w:kern w:val="0"/>
          <w:sz w:val="32"/>
          <w:szCs w:val="30"/>
        </w:rPr>
        <w:t>、多域控制器、惯性导航等感知器件的联合开发和成果转化。加快推动智能车载终端、车规级芯片等关键零部件的研发，促进新一代人工智能、高精度定位及动态地图等技术在智能网联汽车上的产业化应用。</w:t>
      </w:r>
      <w:r>
        <w:rPr>
          <w:rFonts w:hint="default" w:eastAsia="仿宋_GB2312"/>
          <w:bCs/>
          <w:kern w:val="0"/>
          <w:sz w:val="32"/>
          <w:szCs w:val="30"/>
        </w:rPr>
        <w:t>加快推动高性能车辆智能驱动、线控制动、线控转向、电子稳定系统的开发和产业化，实现对车辆的精确、协调和可靠控制。</w:t>
      </w:r>
    </w:p>
    <w:p>
      <w:pPr>
        <w:pStyle w:val="3"/>
        <w:spacing w:beforeLines="0" w:afterLines="0" w:line="360" w:lineRule="auto"/>
        <w:ind w:firstLine="640"/>
        <w:rPr>
          <w:rFonts w:eastAsia="仿宋_GB2312"/>
          <w:bCs/>
          <w:szCs w:val="30"/>
        </w:rPr>
      </w:pPr>
      <w:r>
        <w:rPr>
          <w:rFonts w:hint="eastAsia"/>
          <w:b/>
          <w:bCs/>
          <w:color w:val="000000"/>
        </w:rPr>
        <w:t>（二）</w:t>
      </w:r>
      <w:r>
        <w:rPr>
          <w:rFonts w:hint="eastAsia" w:ascii="Times New Roman" w:hAnsi="Times New Roman" w:cs="Times New Roman"/>
          <w:color w:val="000000"/>
        </w:rPr>
        <w:t>推动构建智能网联汽车决策控制平台</w:t>
      </w:r>
    </w:p>
    <w:p>
      <w:pPr>
        <w:spacing w:beforeLines="0" w:afterLines="0" w:line="360" w:lineRule="auto"/>
        <w:ind w:firstLine="640" w:firstLineChars="200"/>
        <w:rPr>
          <w:rFonts w:eastAsia="仿宋_GB2312"/>
          <w:bCs/>
          <w:kern w:val="0"/>
          <w:sz w:val="32"/>
          <w:szCs w:val="30"/>
          <w:highlight w:val="green"/>
        </w:rPr>
      </w:pPr>
      <w:r>
        <w:rPr>
          <w:rFonts w:hint="eastAsia" w:eastAsia="仿宋_GB2312"/>
          <w:bCs/>
          <w:kern w:val="0"/>
          <w:sz w:val="32"/>
          <w:szCs w:val="30"/>
        </w:rPr>
        <w:t>衔接国家科技重大专项成果，通过联合攻关、合作开发等方式，加快搭建中国标准</w:t>
      </w:r>
      <w:r>
        <w:rPr>
          <w:rFonts w:hint="default" w:eastAsia="仿宋_GB2312"/>
          <w:bCs/>
          <w:kern w:val="0"/>
          <w:sz w:val="32"/>
          <w:szCs w:val="30"/>
        </w:rPr>
        <w:t>智能网联汽车</w:t>
      </w:r>
      <w:r>
        <w:rPr>
          <w:rFonts w:hint="eastAsia" w:eastAsia="仿宋_GB2312"/>
          <w:bCs/>
          <w:kern w:val="0"/>
          <w:sz w:val="32"/>
          <w:szCs w:val="30"/>
        </w:rPr>
        <w:t>场景数据库，完善适合深度学习的软件开发环境</w:t>
      </w:r>
      <w:r>
        <w:rPr>
          <w:rFonts w:hint="default" w:eastAsia="仿宋_GB2312"/>
          <w:bCs/>
          <w:kern w:val="0"/>
          <w:sz w:val="32"/>
          <w:szCs w:val="30"/>
        </w:rPr>
        <w:t>，</w:t>
      </w:r>
      <w:r>
        <w:rPr>
          <w:rFonts w:hint="eastAsia" w:eastAsia="仿宋_GB2312"/>
          <w:bCs/>
          <w:kern w:val="0"/>
          <w:sz w:val="32"/>
          <w:szCs w:val="30"/>
        </w:rPr>
        <w:t>开发软硬件协同计算与通信融合的车载操作系统，加速开发适用于智能网联汽车的硬件接口单元、存储管理单元和V2X通信单元</w:t>
      </w:r>
      <w:r>
        <w:rPr>
          <w:rFonts w:hint="default" w:eastAsia="仿宋_GB2312"/>
          <w:bCs/>
          <w:kern w:val="0"/>
          <w:sz w:val="32"/>
          <w:szCs w:val="30"/>
        </w:rPr>
        <w:t>，</w:t>
      </w:r>
      <w:r>
        <w:rPr>
          <w:rFonts w:hint="eastAsia" w:eastAsia="仿宋_GB2312"/>
          <w:bCs/>
          <w:kern w:val="0"/>
          <w:sz w:val="32"/>
          <w:szCs w:val="30"/>
        </w:rPr>
        <w:t>加快</w:t>
      </w:r>
      <w:r>
        <w:rPr>
          <w:rFonts w:hint="default" w:eastAsia="仿宋_GB2312"/>
          <w:bCs/>
          <w:kern w:val="0"/>
          <w:sz w:val="32"/>
          <w:szCs w:val="30"/>
        </w:rPr>
        <w:t>形成适合中国道路状况的</w:t>
      </w:r>
      <w:r>
        <w:rPr>
          <w:rFonts w:hint="eastAsia" w:eastAsia="仿宋_GB2312"/>
          <w:bCs/>
          <w:kern w:val="0"/>
          <w:sz w:val="32"/>
          <w:szCs w:val="30"/>
        </w:rPr>
        <w:t>L3级以上智能网联汽车计算基础平台架构设计</w:t>
      </w:r>
      <w:r>
        <w:rPr>
          <w:rFonts w:hint="default" w:eastAsia="仿宋_GB2312"/>
          <w:bCs/>
          <w:kern w:val="0"/>
          <w:sz w:val="32"/>
          <w:szCs w:val="30"/>
        </w:rPr>
        <w:t>，满足对车辆动力底盘和车身电子部件的安全、快速、有效控制要求。</w:t>
      </w:r>
    </w:p>
    <w:bookmarkEnd w:id="8"/>
    <w:p>
      <w:pPr>
        <w:pStyle w:val="3"/>
        <w:spacing w:beforeLines="0" w:afterLines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</w:rPr>
        <w:t>三</w:t>
      </w:r>
      <w:r>
        <w:rPr>
          <w:rFonts w:ascii="Times New Roman" w:hAnsi="Times New Roman" w:cs="Times New Roman"/>
          <w:color w:val="000000"/>
        </w:rPr>
        <w:t>）强化无线通信技术研发和产业化</w:t>
      </w:r>
    </w:p>
    <w:bookmarkEnd w:id="6"/>
    <w:bookmarkEnd w:id="7"/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大力支持LTE-V2X、5G-V2X等无线通信关键技术研发与产业化。加快推动多接入边缘计算</w:t>
      </w:r>
      <w:bookmarkStart w:id="9" w:name="OLE_LINK3"/>
      <w:bookmarkStart w:id="10" w:name="OLE_LINK4"/>
      <w:r>
        <w:rPr>
          <w:rFonts w:eastAsia="仿宋_GB2312"/>
          <w:bCs/>
          <w:kern w:val="0"/>
          <w:sz w:val="32"/>
          <w:szCs w:val="30"/>
        </w:rPr>
        <w:t>、网络功能虚拟化</w:t>
      </w:r>
      <w:bookmarkEnd w:id="9"/>
      <w:bookmarkEnd w:id="10"/>
      <w:r>
        <w:rPr>
          <w:rFonts w:eastAsia="仿宋_GB2312"/>
          <w:bCs/>
          <w:kern w:val="0"/>
          <w:sz w:val="32"/>
          <w:szCs w:val="30"/>
        </w:rPr>
        <w:t>、5G网络切片等技术在产业中的应用，构建通信和计算相结合的体系架构，提升多接入边缘计算敏捷性，实现更多业务创新。加快V2X计算平台的部署及产品研发，分步构建中心-区域-边缘-终端的多级分布式V2X计算平台体系，满足V2X业务需求。</w:t>
      </w:r>
    </w:p>
    <w:p>
      <w:pPr>
        <w:pStyle w:val="2"/>
        <w:spacing w:beforeLines="0" w:afterLines="0" w:line="360" w:lineRule="auto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三、完善标准体系，推动测试验证与示范应用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（一）健全标准体系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充分发挥标准体系在车联网产业生态中的基础、引导和规范作用，加快推进实施《国家车联网产业标准体系建设指南》</w:t>
      </w:r>
      <w:r>
        <w:rPr>
          <w:rFonts w:hint="eastAsia" w:eastAsia="仿宋_GB2312"/>
          <w:bCs/>
          <w:kern w:val="0"/>
          <w:sz w:val="32"/>
          <w:szCs w:val="30"/>
        </w:rPr>
        <w:t>，</w:t>
      </w:r>
      <w:r>
        <w:rPr>
          <w:rFonts w:eastAsia="仿宋_GB2312"/>
          <w:bCs/>
          <w:kern w:val="0"/>
          <w:sz w:val="32"/>
          <w:szCs w:val="30"/>
        </w:rPr>
        <w:t>根据产业发展需要适时更新和补充完善。</w:t>
      </w:r>
      <w:r>
        <w:rPr>
          <w:rFonts w:hint="eastAsia" w:eastAsia="仿宋_GB2312"/>
          <w:bCs/>
          <w:kern w:val="0"/>
          <w:sz w:val="32"/>
          <w:szCs w:val="30"/>
        </w:rPr>
        <w:t>加快制定与完善基础通用类、技术类、测试评价类、服务规范类和安全认证类标准，增加标准有效供给。鼓励同步推进关键技术的国际标准化，以标准引领技术发展和水平提升。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加快智能网联汽车</w:t>
      </w:r>
      <w:r>
        <w:rPr>
          <w:rFonts w:hint="default" w:eastAsia="仿宋_GB2312"/>
          <w:bCs/>
          <w:kern w:val="0"/>
          <w:sz w:val="32"/>
          <w:szCs w:val="30"/>
        </w:rPr>
        <w:t>基础通用</w:t>
      </w:r>
      <w:r>
        <w:rPr>
          <w:rFonts w:hint="eastAsia" w:eastAsia="仿宋_GB2312"/>
          <w:bCs/>
          <w:kern w:val="0"/>
          <w:sz w:val="32"/>
          <w:szCs w:val="30"/>
        </w:rPr>
        <w:t>、先进驾驶辅助系统（</w:t>
      </w:r>
      <w:r>
        <w:rPr>
          <w:rFonts w:eastAsia="仿宋_GB2312"/>
          <w:bCs/>
          <w:kern w:val="0"/>
          <w:sz w:val="32"/>
          <w:szCs w:val="30"/>
        </w:rPr>
        <w:t>ADAS</w:t>
      </w:r>
      <w:r>
        <w:rPr>
          <w:rFonts w:hint="eastAsia" w:eastAsia="仿宋_GB2312"/>
          <w:bCs/>
          <w:kern w:val="0"/>
          <w:sz w:val="32"/>
          <w:szCs w:val="30"/>
        </w:rPr>
        <w:t>）、</w:t>
      </w:r>
      <w:r>
        <w:rPr>
          <w:rFonts w:hint="default" w:eastAsia="仿宋_GB2312"/>
          <w:bCs/>
          <w:kern w:val="0"/>
          <w:sz w:val="32"/>
          <w:szCs w:val="30"/>
        </w:rPr>
        <w:t>自动驾驶、</w:t>
      </w:r>
      <w:r>
        <w:rPr>
          <w:rFonts w:hint="eastAsia" w:eastAsia="仿宋_GB2312"/>
          <w:bCs/>
          <w:kern w:val="0"/>
          <w:sz w:val="32"/>
          <w:szCs w:val="30"/>
        </w:rPr>
        <w:t>信息安全</w:t>
      </w:r>
      <w:r>
        <w:rPr>
          <w:rFonts w:hint="default" w:eastAsia="仿宋_GB2312"/>
          <w:bCs/>
          <w:kern w:val="0"/>
          <w:sz w:val="32"/>
          <w:szCs w:val="30"/>
        </w:rPr>
        <w:t>、网联功能等</w:t>
      </w:r>
      <w:r>
        <w:rPr>
          <w:rFonts w:hint="eastAsia" w:eastAsia="仿宋_GB2312"/>
          <w:bCs/>
          <w:kern w:val="0"/>
          <w:sz w:val="32"/>
          <w:szCs w:val="30"/>
        </w:rPr>
        <w:t>相关标准</w:t>
      </w:r>
      <w:r>
        <w:rPr>
          <w:rFonts w:hint="default" w:eastAsia="仿宋_GB2312"/>
          <w:bCs/>
          <w:kern w:val="0"/>
          <w:sz w:val="32"/>
          <w:szCs w:val="30"/>
        </w:rPr>
        <w:t>的制修订</w:t>
      </w:r>
      <w:r>
        <w:rPr>
          <w:rFonts w:hint="eastAsia" w:eastAsia="仿宋_GB2312"/>
          <w:bCs/>
          <w:kern w:val="0"/>
          <w:sz w:val="32"/>
          <w:szCs w:val="30"/>
        </w:rPr>
        <w:t>，以测试场景</w:t>
      </w:r>
      <w:r>
        <w:rPr>
          <w:rFonts w:hint="default" w:eastAsia="仿宋_GB2312"/>
          <w:bCs/>
          <w:kern w:val="0"/>
          <w:sz w:val="32"/>
          <w:szCs w:val="30"/>
        </w:rPr>
        <w:t>为切入点</w:t>
      </w:r>
      <w:r>
        <w:rPr>
          <w:rFonts w:hint="eastAsia" w:eastAsia="仿宋_GB2312"/>
          <w:bCs/>
          <w:kern w:val="0"/>
          <w:sz w:val="32"/>
          <w:szCs w:val="30"/>
        </w:rPr>
        <w:t>、</w:t>
      </w:r>
      <w:r>
        <w:rPr>
          <w:rFonts w:hint="default" w:eastAsia="仿宋_GB2312"/>
          <w:bCs/>
          <w:kern w:val="0"/>
          <w:sz w:val="32"/>
          <w:szCs w:val="30"/>
        </w:rPr>
        <w:t>以整车功能评价为目标，系统开展</w:t>
      </w:r>
      <w:r>
        <w:rPr>
          <w:rFonts w:hint="eastAsia" w:eastAsia="仿宋_GB2312"/>
          <w:bCs/>
          <w:kern w:val="0"/>
          <w:sz w:val="32"/>
          <w:szCs w:val="30"/>
        </w:rPr>
        <w:t>自动驾驶测试</w:t>
      </w:r>
      <w:r>
        <w:rPr>
          <w:rFonts w:hint="default" w:eastAsia="仿宋_GB2312"/>
          <w:bCs/>
          <w:kern w:val="0"/>
          <w:sz w:val="32"/>
          <w:szCs w:val="30"/>
        </w:rPr>
        <w:t>评价</w:t>
      </w:r>
      <w:r>
        <w:rPr>
          <w:rFonts w:hint="eastAsia" w:eastAsia="仿宋_GB2312"/>
          <w:bCs/>
          <w:kern w:val="0"/>
          <w:sz w:val="32"/>
          <w:szCs w:val="30"/>
        </w:rPr>
        <w:t>相关</w:t>
      </w:r>
      <w:r>
        <w:rPr>
          <w:rFonts w:hint="default" w:eastAsia="仿宋_GB2312"/>
          <w:bCs/>
          <w:kern w:val="0"/>
          <w:sz w:val="32"/>
          <w:szCs w:val="30"/>
        </w:rPr>
        <w:t>标准</w:t>
      </w:r>
      <w:r>
        <w:rPr>
          <w:rFonts w:hint="eastAsia" w:eastAsia="仿宋_GB2312"/>
          <w:bCs/>
          <w:kern w:val="0"/>
          <w:sz w:val="32"/>
          <w:szCs w:val="30"/>
        </w:rPr>
        <w:t>规范的研</w:t>
      </w:r>
      <w:r>
        <w:rPr>
          <w:rFonts w:eastAsia="仿宋_GB2312"/>
          <w:bCs/>
          <w:kern w:val="0"/>
          <w:sz w:val="32"/>
          <w:szCs w:val="30"/>
        </w:rPr>
        <w:t>究与制定。开展5G-V2X技术研发与标准制定，推进多接入边缘计算与LTE-V2X技术的融合创新和标准研究。</w:t>
      </w:r>
      <w:r>
        <w:rPr>
          <w:rFonts w:hint="eastAsia" w:eastAsia="仿宋_GB2312"/>
          <w:bCs/>
          <w:kern w:val="0"/>
          <w:sz w:val="32"/>
          <w:szCs w:val="30"/>
        </w:rPr>
        <w:t>加强与智慧城市建设等相关基础设施标准之间的衔接，加快基</w:t>
      </w:r>
      <w:r>
        <w:rPr>
          <w:rFonts w:eastAsia="仿宋_GB2312"/>
          <w:bCs/>
          <w:kern w:val="0"/>
          <w:sz w:val="32"/>
          <w:szCs w:val="30"/>
        </w:rPr>
        <w:t>站设备、路侧单元和车载终端设备的技术要求与测试方法研究制定。推动制定车联网服务平台、交通管控信息服务平台之间的端到端互联互通标准。构建电动汽车、充电桩和平台间的互联互通与数据交互标准。推进车联网无线通信安全、车联网平台及应用安全、数据安全和用户个人信息保护的相关标准研究制定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（二）加快频率和业务许可论证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发布车联网（智能网联汽车）直连通信使用5905-5925MHz频段管理规定。结合技术和产业发展情况及相关单位的频率申请，适时发放频率使用许可。推动5G-V2X相关频率需求研究。加强对LTE-V2X基础设施运营资质和车联网业务资质的研究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（三）推动测试验证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构建智能网联汽车测试评价体系，完善单项技术、整车产品的测试方法和测试规范，全面提升测试验证能力。加强测试示范区能力建设，推进测试规范统一和数据库共享。推动建设中国道路交通场景库，为产品开发测试、安全性评估与功能评价提供基础支撑。扩大智能网联汽车公共道路测试范围，探索进行高速公路测试</w:t>
      </w:r>
      <w:r>
        <w:rPr>
          <w:rFonts w:hint="default" w:eastAsia="仿宋_GB2312"/>
          <w:bCs/>
          <w:kern w:val="0"/>
          <w:sz w:val="32"/>
          <w:szCs w:val="30"/>
        </w:rPr>
        <w:t>试点</w:t>
      </w:r>
      <w:r>
        <w:rPr>
          <w:rFonts w:hint="eastAsia" w:eastAsia="仿宋_GB2312"/>
          <w:bCs/>
          <w:kern w:val="0"/>
          <w:sz w:val="32"/>
          <w:szCs w:val="30"/>
        </w:rPr>
        <w:t>。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完善车载终端、路侧</w:t>
      </w:r>
      <w:r>
        <w:rPr>
          <w:rFonts w:hint="eastAsia" w:eastAsia="仿宋_GB2312"/>
          <w:bCs/>
          <w:kern w:val="0"/>
          <w:sz w:val="32"/>
          <w:szCs w:val="30"/>
        </w:rPr>
        <w:t>单元</w:t>
      </w:r>
      <w:r>
        <w:rPr>
          <w:rFonts w:eastAsia="仿宋_GB2312"/>
          <w:bCs/>
          <w:kern w:val="0"/>
          <w:sz w:val="32"/>
          <w:szCs w:val="30"/>
        </w:rPr>
        <w:t>等在不同电磁环境下技术测试验证，构建车联网云平台测试验证体系，提升相关测试验证能力。研究车联网电磁环境保护要求，</w:t>
      </w:r>
      <w:r>
        <w:rPr>
          <w:rFonts w:hint="eastAsia" w:eastAsia="仿宋_GB2312"/>
          <w:bCs/>
          <w:kern w:val="0"/>
          <w:sz w:val="32"/>
          <w:szCs w:val="30"/>
        </w:rPr>
        <w:t>完善车用无线通信设备进网许可相关管理办法</w:t>
      </w:r>
      <w:r>
        <w:rPr>
          <w:rFonts w:eastAsia="仿宋_GB2312"/>
          <w:bCs/>
          <w:kern w:val="0"/>
          <w:sz w:val="32"/>
          <w:szCs w:val="30"/>
        </w:rPr>
        <w:t>。推动仿真测试、道路试验测试等技术发展，形成面向实验室、封闭道路、半封闭道路和开放道路的综合试验验证能力。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（四）促进示范应用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加强与公安部、交通运输部等部门及地方政府的协同合作，鼓励产业链各方参与，开展半开放区域和公开道路等测试验证，保障车载终端、路侧单元</w:t>
      </w:r>
      <w:r>
        <w:rPr>
          <w:rFonts w:hint="default" w:eastAsia="仿宋_GB2312"/>
          <w:bCs/>
          <w:kern w:val="0"/>
          <w:sz w:val="32"/>
          <w:szCs w:val="30"/>
        </w:rPr>
        <w:t>与云</w:t>
      </w:r>
      <w:r>
        <w:rPr>
          <w:rFonts w:hint="eastAsia" w:eastAsia="仿宋_GB2312"/>
          <w:bCs/>
          <w:kern w:val="0"/>
          <w:sz w:val="32"/>
          <w:szCs w:val="30"/>
        </w:rPr>
        <w:t>平台间通信的可靠性、兼容性和安全性，逐步完成端到端的技术验证和互联互通测试。在机场、港口、</w:t>
      </w:r>
      <w:r>
        <w:rPr>
          <w:rFonts w:hint="eastAsia" w:ascii="仿宋_GB2312" w:hAnsi="华文仿宋" w:eastAsia="仿宋_GB2312"/>
          <w:sz w:val="32"/>
          <w:szCs w:val="32"/>
        </w:rPr>
        <w:t>快速公交车道和</w:t>
      </w:r>
      <w:r>
        <w:rPr>
          <w:rFonts w:hint="eastAsia" w:eastAsia="仿宋_GB2312"/>
          <w:bCs/>
          <w:kern w:val="0"/>
          <w:sz w:val="32"/>
          <w:szCs w:val="30"/>
        </w:rPr>
        <w:t>产业园区开展自动驾驶</w:t>
      </w:r>
      <w:r>
        <w:rPr>
          <w:rFonts w:hint="default" w:eastAsia="仿宋_GB2312"/>
          <w:bCs/>
          <w:kern w:val="0"/>
          <w:sz w:val="32"/>
          <w:szCs w:val="30"/>
        </w:rPr>
        <w:t>通勤</w:t>
      </w:r>
      <w:r>
        <w:rPr>
          <w:rFonts w:hint="eastAsia" w:eastAsia="仿宋_GB2312"/>
          <w:bCs/>
          <w:kern w:val="0"/>
          <w:sz w:val="32"/>
          <w:szCs w:val="30"/>
        </w:rPr>
        <w:t>出行、智能物流配送、智能环卫等场景的示范应用。推进上海、北京</w:t>
      </w:r>
      <w:r>
        <w:rPr>
          <w:rFonts w:eastAsia="仿宋_GB2312"/>
          <w:bCs/>
          <w:kern w:val="0"/>
          <w:sz w:val="32"/>
          <w:szCs w:val="30"/>
        </w:rPr>
        <w:t>-</w:t>
      </w:r>
      <w:r>
        <w:rPr>
          <w:rFonts w:hint="eastAsia" w:eastAsia="仿宋_GB2312"/>
          <w:bCs/>
          <w:kern w:val="0"/>
          <w:sz w:val="32"/>
          <w:szCs w:val="30"/>
        </w:rPr>
        <w:t>河北、重庆、无锡、杭州、武汉、长春、广州和长沙等区域性示范应用，支持北京冬奥会和雄安新区开展车联网应用。构</w:t>
      </w:r>
      <w:r>
        <w:rPr>
          <w:rFonts w:hint="eastAsia" w:eastAsia="仿宋_GB2312"/>
          <w:bCs/>
          <w:kern w:val="0"/>
          <w:sz w:val="32"/>
          <w:szCs w:val="30"/>
          <w:highlight w:val="none"/>
        </w:rPr>
        <w:t>建国家级的车联网先导区，</w:t>
      </w:r>
      <w:r>
        <w:rPr>
          <w:rFonts w:hint="eastAsia" w:eastAsia="仿宋_GB2312"/>
          <w:bCs/>
          <w:kern w:val="0"/>
          <w:sz w:val="32"/>
          <w:szCs w:val="30"/>
        </w:rPr>
        <w:t>不断提升交通智能化管理水平和居民出行服务体验。</w:t>
      </w:r>
    </w:p>
    <w:p>
      <w:pPr>
        <w:pStyle w:val="2"/>
        <w:spacing w:beforeLines="0" w:afterLines="0" w:line="360" w:lineRule="auto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四、合作共建，推动完善车联网产业基础设施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（一）完善通信网络设施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推动LTE网络的改造和升级，满足车联网的大规模应用。提升LTE-V2X网络在主要高速公路和部分城市主要道路的覆盖水平，完善路侧单元的数据接入规范，提高路侧单元与道路基础设施、智能管控设施的融合接入能力，推动LTE-V2X网络升级与路侧单元部署的有机结合。在重点地区、重点路段建立5G-V2X示范应用网络，提供超低时延、超高可靠、超大带宽的无线通信服务。</w:t>
      </w:r>
      <w:r>
        <w:rPr>
          <w:rFonts w:hint="eastAsia" w:eastAsia="仿宋_GB2312"/>
          <w:bCs/>
          <w:kern w:val="0"/>
          <w:sz w:val="32"/>
          <w:szCs w:val="30"/>
        </w:rPr>
        <w:t>分阶段、分区域推进道路基础设施、交通标志标识的数字化改造和新建，在桥梁、隧道等道路关键节点加快部署窄带物联网（</w:t>
      </w:r>
      <w:r>
        <w:rPr>
          <w:rFonts w:eastAsia="仿宋_GB2312"/>
          <w:bCs/>
          <w:kern w:val="0"/>
          <w:sz w:val="32"/>
          <w:szCs w:val="30"/>
        </w:rPr>
        <w:t>NB-IoT</w:t>
      </w:r>
      <w:r>
        <w:rPr>
          <w:rFonts w:hint="eastAsia" w:eastAsia="仿宋_GB2312"/>
          <w:bCs/>
          <w:kern w:val="0"/>
          <w:sz w:val="32"/>
          <w:szCs w:val="30"/>
        </w:rPr>
        <w:t>）等网络。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（二）推动大数据及云平台建设与管理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促进各类车联网平台的互联互通，推动智能网联汽车、道路基础设施、通信基站、</w:t>
      </w:r>
      <w:r>
        <w:rPr>
          <w:rFonts w:hint="eastAsia" w:eastAsia="仿宋_GB2312"/>
          <w:bCs/>
          <w:kern w:val="0"/>
          <w:sz w:val="32"/>
          <w:szCs w:val="30"/>
        </w:rPr>
        <w:t>车联网</w:t>
      </w:r>
      <w:r>
        <w:rPr>
          <w:rFonts w:eastAsia="仿宋_GB2312"/>
          <w:bCs/>
          <w:kern w:val="0"/>
          <w:sz w:val="32"/>
          <w:szCs w:val="30"/>
        </w:rPr>
        <w:t>平台和应用服务等信息交互与数据共享，构建数据使用和维护的市场化机制，保障车辆安全有效地运行。鼓励构建跨行业、跨部门的综合大数据及云平台，支撑车联网应用的规模发展和持续创新。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（三）构建智能道路基础设施</w:t>
      </w:r>
    </w:p>
    <w:p>
      <w:pPr>
        <w:spacing w:beforeLines="0" w:afterLines="0" w:line="360" w:lineRule="auto"/>
        <w:rPr>
          <w:rFonts w:eastAsia="仿宋_GB2312"/>
          <w:bCs/>
          <w:kern w:val="0"/>
          <w:sz w:val="32"/>
          <w:szCs w:val="30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bCs/>
          <w:kern w:val="0"/>
          <w:sz w:val="32"/>
          <w:szCs w:val="30"/>
        </w:rPr>
        <w:t>促进网络通信技术、人工智能技术与道路交通基础设施的深度融合，为车联网、自动驾驶等新技术应用提供必要条件。面向典型场景和热点区域部署边缘计算能力，构建低时延、大带宽、高算力的车路协同环境</w:t>
      </w:r>
      <w:r>
        <w:rPr>
          <w:rFonts w:hint="eastAsia" w:eastAsia="仿宋_GB2312"/>
          <w:bCs/>
          <w:kern w:val="0"/>
          <w:sz w:val="32"/>
          <w:szCs w:val="30"/>
        </w:rPr>
        <w:t>。支持北斗卫星导航系统和差分基站等设施建设，提升车用高精度时空服务的规模化应用水平，满足车辆的高精度定位导航需求。</w:t>
      </w:r>
      <w:r>
        <w:rPr>
          <w:rFonts w:eastAsia="仿宋_GB2312"/>
          <w:bCs/>
          <w:kern w:val="0"/>
          <w:sz w:val="32"/>
          <w:szCs w:val="30"/>
        </w:rPr>
        <w:t>在部分高速公路和部分城市主要道路，支持构建集感知、通信、计算等能力为一体的智能基础设施环境。</w:t>
      </w:r>
    </w:p>
    <w:p>
      <w:pPr>
        <w:pStyle w:val="2"/>
        <w:spacing w:beforeLines="0" w:afterLines="0" w:line="360" w:lineRule="auto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五、发展综合应用，推动提升市场渗透率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</w:rPr>
        <w:t>（一）</w:t>
      </w:r>
      <w:r>
        <w:rPr>
          <w:rFonts w:ascii="Times New Roman" w:hAnsi="Times New Roman" w:cs="Times New Roman"/>
        </w:rPr>
        <w:t>扩大车联网用户规模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鼓励电信运营商推出优惠资费等激励措施，大力发展车联网用户。支持</w:t>
      </w:r>
      <w:r>
        <w:rPr>
          <w:rFonts w:hint="eastAsia" w:eastAsia="仿宋_GB2312"/>
          <w:bCs/>
          <w:kern w:val="0"/>
          <w:sz w:val="32"/>
          <w:szCs w:val="30"/>
        </w:rPr>
        <w:t>汽车企业</w:t>
      </w:r>
      <w:r>
        <w:rPr>
          <w:rFonts w:eastAsia="仿宋_GB2312"/>
          <w:bCs/>
          <w:kern w:val="0"/>
          <w:sz w:val="32"/>
          <w:szCs w:val="30"/>
        </w:rPr>
        <w:t>前装联网车载信息服务终端，提升</w:t>
      </w:r>
      <w:r>
        <w:rPr>
          <w:rFonts w:hint="eastAsia" w:eastAsia="仿宋_GB2312"/>
          <w:bCs/>
          <w:kern w:val="0"/>
          <w:sz w:val="32"/>
          <w:szCs w:val="30"/>
        </w:rPr>
        <w:t>驾驶辅助系统新车搭载率。支持公交车、大货车、出租车、网约车等相关</w:t>
      </w:r>
      <w:r>
        <w:rPr>
          <w:rFonts w:eastAsia="仿宋_GB2312"/>
          <w:bCs/>
          <w:kern w:val="0"/>
          <w:sz w:val="32"/>
          <w:szCs w:val="30"/>
        </w:rPr>
        <w:t>运营车辆提高联网率。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）发展综合信息服务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培育面向乘用车的智慧出行、道路救援、数据服务等创新应用，完善面向多种营运车辆的综合信息服务和远程监测</w:t>
      </w:r>
      <w:r>
        <w:rPr>
          <w:rFonts w:hint="eastAsia" w:eastAsia="仿宋_GB2312"/>
          <w:bCs/>
          <w:kern w:val="0"/>
          <w:sz w:val="32"/>
          <w:szCs w:val="30"/>
        </w:rPr>
        <w:t>系统</w:t>
      </w:r>
      <w:r>
        <w:rPr>
          <w:rFonts w:eastAsia="仿宋_GB2312"/>
          <w:bCs/>
          <w:kern w:val="0"/>
          <w:sz w:val="32"/>
          <w:szCs w:val="30"/>
        </w:rPr>
        <w:t>，推进面向公安交通管理、商业运输车辆调度和道路运输监管等领域的交通服务，发展共享汽车等新业态。创新商业模式，推动车联网产业与智慧旅游和智慧商务等融合发展。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）拓展电动汽车联网应用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发展电动汽车实时在线监测系统和大数据分析能力，实现充电预警、优化充换电调度、提升充换电效率等目标。支持加强对电动汽车电池等核心部件的监测，鼓励开展退役电池甄别、分级和梯次利用。拓展电动汽车的联网应用，推动电动汽车、充电桩、充电服务平台、动力电池溯源系统、在线监测平台等的互联互通和数据交互，实现对电动汽车全生命周期的安全管理，提高电动汽车安全水平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</w:rPr>
        <w:t>四</w:t>
      </w:r>
      <w:r>
        <w:rPr>
          <w:rFonts w:ascii="Times New Roman" w:hAnsi="Times New Roman" w:cs="Times New Roman"/>
          <w:color w:val="000000"/>
        </w:rPr>
        <w:t>）推进交通安全与能效技术应用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推动基于LTE-V2X、5G-V2X等技术的</w:t>
      </w:r>
      <w:r>
        <w:rPr>
          <w:rFonts w:hint="eastAsia" w:eastAsia="仿宋_GB2312"/>
          <w:bCs/>
          <w:kern w:val="0"/>
          <w:sz w:val="32"/>
          <w:szCs w:val="30"/>
        </w:rPr>
        <w:t>“人-车-路-云”</w:t>
      </w:r>
      <w:r>
        <w:rPr>
          <w:rFonts w:eastAsia="仿宋_GB2312"/>
          <w:bCs/>
          <w:kern w:val="0"/>
          <w:sz w:val="32"/>
          <w:szCs w:val="30"/>
        </w:rPr>
        <w:t>协同交互，积极开展交通安全与能效应用。在相关技术、产品和商业化运行条件成熟的情况下，推广交通事件预警、事故报警、交通管控等车路交互信息服务的规模应用，推动基于“车车/车人”通信的事故预警和协同控制技术的应用，提升交通安全与拥堵主动调控能力。推动车路通信技术在车辆和道路交通基础设施中的应用，提升交通安全水平。推广不同路况的行驶策略指引、高速公路货车编队行驶等应用，提高交通效率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）打造汽车全生命周期服务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建立基于网络的汽车设计、制造、服务一体化体系，构建智能网联汽车</w:t>
      </w:r>
      <w:r>
        <w:rPr>
          <w:rFonts w:hint="eastAsia" w:eastAsia="仿宋_GB2312"/>
          <w:bCs/>
          <w:kern w:val="0"/>
          <w:sz w:val="32"/>
          <w:szCs w:val="30"/>
        </w:rPr>
        <w:t>数据</w:t>
      </w:r>
      <w:r>
        <w:rPr>
          <w:rFonts w:eastAsia="仿宋_GB2312"/>
          <w:bCs/>
          <w:kern w:val="0"/>
          <w:sz w:val="32"/>
          <w:szCs w:val="30"/>
        </w:rPr>
        <w:t>管理体系。通过车联网实现对车辆运行数据的采集、分析与运用，形成多样化的应用服务和系统管理，为车辆安全运行提供保障。推动车辆精准化的营销推广、定制化的保养服务、个性化的保险套餐、透明化的维修服务和差异化的用车体验，实现基于大数据平台的个性化汽车服务的规模应用。利用车联网技术提升车辆回收和循环利用水平。</w:t>
      </w:r>
    </w:p>
    <w:p>
      <w:pPr>
        <w:pStyle w:val="2"/>
        <w:spacing w:beforeLines="0" w:afterLines="0" w:line="360" w:lineRule="auto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六、技管结合，推动完善安全保障体系</w:t>
      </w:r>
    </w:p>
    <w:p>
      <w:pPr>
        <w:pStyle w:val="3"/>
        <w:pBdr>
          <w:top w:val="none" w:color="auto" w:sz="0" w:space="0"/>
        </w:pBdr>
        <w:spacing w:beforeLines="0" w:afterLines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（一）健全安全管理体系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以产品和系统的运行安全、网络安全和数据安全为重点，明确相关主体责任，定期开展安全监督检查。</w:t>
      </w:r>
      <w:r>
        <w:rPr>
          <w:rFonts w:hint="eastAsia" w:eastAsia="仿宋_GB2312"/>
          <w:bCs/>
          <w:kern w:val="0"/>
          <w:sz w:val="32"/>
          <w:szCs w:val="30"/>
        </w:rPr>
        <w:t>完善</w:t>
      </w:r>
      <w:r>
        <w:rPr>
          <w:rFonts w:eastAsia="仿宋_GB2312"/>
          <w:bCs/>
          <w:kern w:val="0"/>
          <w:sz w:val="32"/>
          <w:szCs w:val="30"/>
        </w:rPr>
        <w:t>车联网网络和数据安全的事件通报、应急处置和责任认定等安全管理</w:t>
      </w:r>
      <w:r>
        <w:rPr>
          <w:rFonts w:hint="eastAsia" w:eastAsia="仿宋_GB2312"/>
          <w:bCs/>
          <w:kern w:val="0"/>
          <w:sz w:val="32"/>
          <w:szCs w:val="30"/>
        </w:rPr>
        <w:t>工作</w:t>
      </w:r>
      <w:r>
        <w:rPr>
          <w:rFonts w:eastAsia="仿宋_GB2312"/>
          <w:bCs/>
          <w:kern w:val="0"/>
          <w:sz w:val="32"/>
          <w:szCs w:val="30"/>
        </w:rPr>
        <w:t>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（二）提升安全防护能力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重点突破产业的功能安全、网络安全</w:t>
      </w:r>
      <w:r>
        <w:rPr>
          <w:rFonts w:hint="eastAsia" w:eastAsia="仿宋_GB2312"/>
          <w:bCs/>
          <w:kern w:val="0"/>
          <w:sz w:val="32"/>
          <w:szCs w:val="30"/>
        </w:rPr>
        <w:t>和</w:t>
      </w:r>
      <w:r>
        <w:rPr>
          <w:rFonts w:eastAsia="仿宋_GB2312"/>
          <w:bCs/>
          <w:kern w:val="0"/>
          <w:sz w:val="32"/>
          <w:szCs w:val="30"/>
        </w:rPr>
        <w:t>数据安全</w:t>
      </w:r>
      <w:r>
        <w:rPr>
          <w:rFonts w:hint="eastAsia" w:eastAsia="仿宋_GB2312"/>
          <w:bCs/>
          <w:kern w:val="0"/>
          <w:sz w:val="32"/>
          <w:szCs w:val="30"/>
        </w:rPr>
        <w:t>的</w:t>
      </w:r>
      <w:r>
        <w:rPr>
          <w:rFonts w:eastAsia="仿宋_GB2312"/>
          <w:bCs/>
          <w:kern w:val="0"/>
          <w:sz w:val="32"/>
          <w:szCs w:val="30"/>
        </w:rPr>
        <w:t>核心技术研发，支持安全防护、漏洞挖掘、入侵检测和态势感知等系列安全产品研发。督促企业强化网络安全防护和数据安全防护，构建智能网联汽车、无线通信网络、车联网数据和网络的全要素安全检测评估体系，开展安全能力评估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（三）推动安全技术手段建设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增强</w:t>
      </w:r>
      <w:r>
        <w:rPr>
          <w:rFonts w:eastAsia="仿宋_GB2312"/>
          <w:bCs/>
          <w:kern w:val="0"/>
          <w:sz w:val="32"/>
          <w:szCs w:val="30"/>
        </w:rPr>
        <w:t>产业安全技术支撑能力，着力提升隐患排查、风险发现和应急处置水平，打造监测预警、威胁分析、风险评估、试验验证和数据安全等安全平台。推动企业加大安全投入，创新安全运维与咨询等服务模式，提升行业安全保障服务能力。</w:t>
      </w:r>
    </w:p>
    <w:p>
      <w:pPr>
        <w:pStyle w:val="2"/>
        <w:spacing w:beforeLines="0" w:afterLines="0" w:line="360" w:lineRule="auto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七、保障</w:t>
      </w:r>
      <w:bookmarkStart w:id="11" w:name="OLE_LINK41"/>
      <w:bookmarkStart w:id="12" w:name="OLE_LINK40"/>
      <w:r>
        <w:rPr>
          <w:rFonts w:ascii="Times New Roman" w:hAnsi="Times New Roman" w:cs="Times New Roman"/>
        </w:rPr>
        <w:t>措施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（一）加强组织</w:t>
      </w:r>
      <w:r>
        <w:rPr>
          <w:rFonts w:hint="eastAsia" w:ascii="Times New Roman" w:hAnsi="Times New Roman" w:cs="Times New Roman"/>
        </w:rPr>
        <w:t>领导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充分发挥国家制造强国建设领导小组车联网产业发展专委会的作用，加强统筹推进，强化部门合作，解决关键问题，营造有利于车联网产业发展的良好环境。加强部省合作，发挥区域资源优势，共同推动示范应用和产业化，培育一批领军企业，构建产业集聚区</w:t>
      </w:r>
      <w:r>
        <w:rPr>
          <w:rFonts w:hint="eastAsia" w:eastAsia="仿宋_GB2312"/>
          <w:bCs/>
          <w:kern w:val="0"/>
          <w:sz w:val="32"/>
          <w:szCs w:val="30"/>
        </w:rPr>
        <w:t>。</w:t>
      </w:r>
      <w:r>
        <w:rPr>
          <w:rFonts w:eastAsia="仿宋_GB2312"/>
          <w:bCs/>
          <w:kern w:val="0"/>
          <w:sz w:val="32"/>
          <w:szCs w:val="30"/>
        </w:rPr>
        <w:t>加强产业跟踪研究、总结评估和督促指导，确保重点工作有序推进</w:t>
      </w:r>
      <w:r>
        <w:rPr>
          <w:rFonts w:hint="eastAsia" w:eastAsia="仿宋_GB2312"/>
          <w:bCs/>
          <w:kern w:val="0"/>
          <w:sz w:val="32"/>
          <w:szCs w:val="30"/>
        </w:rPr>
        <w:t>。</w:t>
      </w:r>
    </w:p>
    <w:bookmarkEnd w:id="11"/>
    <w:bookmarkEnd w:id="12"/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bookmarkStart w:id="13" w:name="OLE_LINK1"/>
      <w:bookmarkStart w:id="14" w:name="OLE_LINK2"/>
      <w:r>
        <w:rPr>
          <w:rFonts w:ascii="Times New Roman" w:hAnsi="Times New Roman" w:cs="Times New Roman"/>
        </w:rPr>
        <w:t>（二）</w:t>
      </w:r>
      <w:bookmarkEnd w:id="13"/>
      <w:bookmarkEnd w:id="14"/>
      <w:r>
        <w:rPr>
          <w:rFonts w:ascii="Times New Roman" w:hAnsi="Times New Roman" w:cs="Times New Roman"/>
        </w:rPr>
        <w:t>加大政策支持力度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发挥财政资金的引导作用，鼓励地方政府加大投入，完善协同机制，加大对关键技术研发、示范应用与产业化应用的支持力度。鼓励地方政府通过多种方式支持产业发展，探索制定智能网联汽车分时租赁优惠政策。加强产融合作，引导信贷投放，吸引风险投资等各类社会资本参与车联网产业发展。</w:t>
      </w:r>
    </w:p>
    <w:p>
      <w:pPr>
        <w:pStyle w:val="3"/>
        <w:spacing w:beforeLines="0" w:afterLines="0" w:line="360" w:lineRule="auto"/>
      </w:pPr>
      <w:bookmarkStart w:id="15" w:name="_Hlk532568894"/>
      <w:r>
        <w:rPr>
          <w:rFonts w:ascii="Times New Roman" w:hAnsi="Times New Roman" w:cs="Times New Roman"/>
        </w:rPr>
        <w:t>（三）</w:t>
      </w:r>
      <w:r>
        <w:rPr>
          <w:rFonts w:hint="eastAsia" w:ascii="Times New Roman" w:hAnsi="Times New Roman" w:cs="Times New Roman"/>
        </w:rPr>
        <w:t>构建</w:t>
      </w:r>
      <w:r>
        <w:rPr>
          <w:rFonts w:hint="default" w:ascii="Times New Roman" w:hAnsi="Times New Roman" w:cs="Times New Roman"/>
        </w:rPr>
        <w:t>产业</w:t>
      </w:r>
      <w:r>
        <w:rPr>
          <w:rFonts w:hint="eastAsia" w:ascii="Times New Roman" w:hAnsi="Times New Roman" w:cs="Times New Roman"/>
        </w:rPr>
        <w:t>生态体系</w:t>
      </w:r>
    </w:p>
    <w:p>
      <w:pPr>
        <w:spacing w:beforeLines="0" w:afterLines="0" w:line="360" w:lineRule="auto"/>
        <w:ind w:firstLine="640" w:firstLineChars="200"/>
        <w:rPr>
          <w:rFonts w:eastAsia="仿宋_GB2312"/>
          <w:bCs/>
          <w:color w:val="FF0000"/>
          <w:kern w:val="0"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加快建设智能网联汽车制造业创新中心，搭建产学研用联合的协同创新和成果转化平台。积极发挥产业联盟等的统筹协调作用，促进产业链上下游以及与相关行业之间的有效融合，构建技术创新和产业生态体系。鼓励新型商业模式，积极培育创新应用，建设创新创业创优服务平台，促进形成新业务、新市场和新生态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（四）</w:t>
      </w:r>
      <w:r>
        <w:rPr>
          <w:rFonts w:ascii="Times New Roman" w:hAnsi="Times New Roman" w:cs="Times New Roman"/>
        </w:rPr>
        <w:t>优化产业发展环境</w:t>
      </w:r>
    </w:p>
    <w:p>
      <w:pPr>
        <w:widowControl/>
        <w:pBdr>
          <w:top w:val="none" w:color="auto" w:sz="0" w:space="1"/>
          <w:left w:val="none" w:color="auto" w:sz="0" w:space="4"/>
          <w:right w:val="none" w:color="auto" w:sz="0" w:space="4"/>
        </w:pBdr>
        <w:spacing w:beforeLines="0" w:afterLines="0" w:line="360" w:lineRule="auto"/>
        <w:ind w:firstLine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推动制定有利于产业创新的政策法规，适时修订制约产业发展的制度规章，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0"/>
        </w:rPr>
        <w:t>为大规模测试示范和商业化应用提供政策和制度保障。加快构建智能网联汽车测试评价体系，建立健全智能网联汽车生产准入管理制度。利用世界智能网联汽车大会等高端平台，促进技术交流和产业合作。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坚持包容审慎的原则，加强对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0"/>
        </w:rPr>
        <w:t>产品和应用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的事中事后监管，强化知识产权保护与有效利用，健全信用管理机制。</w:t>
      </w:r>
    </w:p>
    <w:bookmarkEnd w:id="15"/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）健全人才培养体系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eastAsia="仿宋_GB2312"/>
          <w:bCs/>
          <w:kern w:val="0"/>
          <w:sz w:val="32"/>
          <w:szCs w:val="30"/>
        </w:rPr>
        <w:t>高度重视人才队伍建设对产业发展的作用，培养和引进相结合，有计划、多渠道引进高端人才和青年人才，培育高水平的创新创业团队，加快形成具有国际领先水平的专家队伍。推动学科建设和专业布局，促进构建有利于产业融合的交叉学科和专业，推动建设跨学科的培训体系。</w:t>
      </w:r>
    </w:p>
    <w:p>
      <w:pPr>
        <w:pStyle w:val="3"/>
        <w:spacing w:beforeLines="0" w:afterLines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六</w:t>
      </w:r>
      <w:r>
        <w:rPr>
          <w:rFonts w:ascii="Times New Roman" w:hAnsi="Times New Roman" w:cs="Times New Roman"/>
        </w:rPr>
        <w:t>）推进国际及港澳台交流合作</w:t>
      </w:r>
    </w:p>
    <w:p>
      <w:pPr>
        <w:pBdr>
          <w:top w:val="none" w:color="auto" w:sz="0" w:space="2"/>
          <w:bottom w:val="none" w:color="auto" w:sz="0" w:space="1"/>
          <w:right w:val="none" w:color="auto" w:sz="0" w:space="1"/>
        </w:pBdr>
        <w:spacing w:beforeLines="0" w:afterLines="0" w:line="360" w:lineRule="auto"/>
        <w:ind w:firstLine="685"/>
        <w:rPr>
          <w:rFonts w:eastAsia="仿宋_GB2312"/>
          <w:bCs/>
          <w:kern w:val="0"/>
          <w:sz w:val="32"/>
          <w:szCs w:val="30"/>
        </w:rPr>
      </w:pPr>
      <w:r>
        <w:rPr>
          <w:rFonts w:hint="default" w:eastAsia="仿宋_GB2312"/>
          <w:bCs/>
          <w:kern w:val="0"/>
          <w:sz w:val="32"/>
          <w:szCs w:val="30"/>
        </w:rPr>
        <w:t>利用</w:t>
      </w:r>
      <w:r>
        <w:rPr>
          <w:rFonts w:hint="eastAsia" w:eastAsia="仿宋_GB2312"/>
          <w:bCs/>
          <w:kern w:val="0"/>
          <w:sz w:val="32"/>
          <w:szCs w:val="30"/>
        </w:rPr>
        <w:t>中欧</w:t>
      </w:r>
      <w:r>
        <w:rPr>
          <w:rFonts w:hint="default" w:eastAsia="仿宋_GB2312"/>
          <w:bCs/>
          <w:kern w:val="0"/>
          <w:sz w:val="32"/>
          <w:szCs w:val="30"/>
        </w:rPr>
        <w:t>、中俄、</w:t>
      </w:r>
      <w:r>
        <w:rPr>
          <w:rFonts w:hint="eastAsia" w:eastAsia="仿宋_GB2312"/>
          <w:bCs/>
          <w:kern w:val="0"/>
          <w:sz w:val="32"/>
          <w:szCs w:val="30"/>
        </w:rPr>
        <w:t>中德、</w:t>
      </w:r>
      <w:r>
        <w:rPr>
          <w:rFonts w:hint="default" w:eastAsia="仿宋_GB2312"/>
          <w:bCs/>
          <w:kern w:val="0"/>
          <w:sz w:val="32"/>
          <w:szCs w:val="30"/>
        </w:rPr>
        <w:t>中美、</w:t>
      </w:r>
      <w:r>
        <w:rPr>
          <w:rFonts w:hint="eastAsia" w:eastAsia="仿宋_GB2312"/>
          <w:bCs/>
          <w:kern w:val="0"/>
          <w:sz w:val="32"/>
          <w:szCs w:val="30"/>
        </w:rPr>
        <w:t>中法、中日、中韩</w:t>
      </w:r>
      <w:r>
        <w:rPr>
          <w:rFonts w:hint="default" w:eastAsia="仿宋_GB2312"/>
          <w:bCs/>
          <w:kern w:val="0"/>
          <w:sz w:val="32"/>
          <w:szCs w:val="30"/>
        </w:rPr>
        <w:t>以及海峡两岸有关产业对话机制或活动平台</w:t>
      </w:r>
      <w:r>
        <w:rPr>
          <w:rFonts w:hint="eastAsia" w:eastAsia="仿宋_GB2312"/>
          <w:bCs/>
          <w:kern w:val="0"/>
          <w:sz w:val="32"/>
          <w:szCs w:val="30"/>
        </w:rPr>
        <w:t>，加强务实合作与交流，</w:t>
      </w:r>
      <w:r>
        <w:rPr>
          <w:rFonts w:hint="default" w:eastAsia="仿宋_GB2312"/>
          <w:bCs/>
          <w:kern w:val="0"/>
          <w:sz w:val="32"/>
          <w:szCs w:val="30"/>
        </w:rPr>
        <w:t>推动与世界先进技术和产业链对接，实现</w:t>
      </w:r>
      <w:r>
        <w:rPr>
          <w:rFonts w:hint="eastAsia" w:eastAsia="仿宋_GB2312"/>
          <w:bCs/>
          <w:kern w:val="0"/>
          <w:sz w:val="32"/>
          <w:szCs w:val="30"/>
        </w:rPr>
        <w:t>高起点与可持续发展。积极参与相关国际标准的制定和协调，重点加强共性技术、测试评价以及频率规划等方面的交流与合作。鼓励全球领先企业在中国设立</w:t>
      </w:r>
      <w:r>
        <w:rPr>
          <w:rFonts w:hint="default" w:eastAsia="仿宋_GB2312"/>
          <w:bCs/>
          <w:kern w:val="0"/>
          <w:sz w:val="32"/>
          <w:szCs w:val="30"/>
        </w:rPr>
        <w:t>生产基地和</w:t>
      </w:r>
      <w:r>
        <w:rPr>
          <w:rFonts w:hint="eastAsia" w:eastAsia="仿宋_GB2312"/>
          <w:bCs/>
          <w:kern w:val="0"/>
          <w:sz w:val="32"/>
          <w:szCs w:val="30"/>
        </w:rPr>
        <w:t>研发机构，</w:t>
      </w:r>
      <w:r>
        <w:rPr>
          <w:rFonts w:hint="default" w:eastAsia="仿宋_GB2312"/>
          <w:bCs/>
          <w:kern w:val="0"/>
          <w:sz w:val="32"/>
          <w:szCs w:val="30"/>
        </w:rPr>
        <w:t>支持</w:t>
      </w:r>
      <w:r>
        <w:rPr>
          <w:rFonts w:hint="eastAsia" w:eastAsia="仿宋_GB2312"/>
          <w:bCs/>
          <w:kern w:val="0"/>
          <w:sz w:val="32"/>
          <w:szCs w:val="30"/>
        </w:rPr>
        <w:t>国内优秀企业积极开拓海外市场，构建</w:t>
      </w:r>
      <w:r>
        <w:rPr>
          <w:rFonts w:hint="default" w:eastAsia="仿宋_GB2312"/>
          <w:bCs/>
          <w:kern w:val="0"/>
          <w:sz w:val="32"/>
          <w:szCs w:val="30"/>
        </w:rPr>
        <w:t>开放发展、</w:t>
      </w:r>
      <w:r>
        <w:rPr>
          <w:rFonts w:hint="eastAsia" w:eastAsia="仿宋_GB2312"/>
          <w:bCs/>
          <w:kern w:val="0"/>
          <w:sz w:val="32"/>
          <w:szCs w:val="30"/>
        </w:rPr>
        <w:t>合作共赢的产业格局。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1" o:spid="_x0000_s1025" style="position:absolute;left:0;margin-top:0pt;height:10.35pt;width:4.5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7273"/>
    <w:rsid w:val="00001BCB"/>
    <w:rsid w:val="000054D2"/>
    <w:rsid w:val="000442B1"/>
    <w:rsid w:val="00067405"/>
    <w:rsid w:val="00075AA2"/>
    <w:rsid w:val="00094353"/>
    <w:rsid w:val="000959D0"/>
    <w:rsid w:val="000B4FD0"/>
    <w:rsid w:val="000B6187"/>
    <w:rsid w:val="000C31C2"/>
    <w:rsid w:val="000C31E3"/>
    <w:rsid w:val="00105052"/>
    <w:rsid w:val="001100AB"/>
    <w:rsid w:val="00124432"/>
    <w:rsid w:val="00153CEE"/>
    <w:rsid w:val="00177DC6"/>
    <w:rsid w:val="001905C7"/>
    <w:rsid w:val="00195EDA"/>
    <w:rsid w:val="001A6F80"/>
    <w:rsid w:val="001B7864"/>
    <w:rsid w:val="001D3E54"/>
    <w:rsid w:val="002429AB"/>
    <w:rsid w:val="002518FE"/>
    <w:rsid w:val="002720E3"/>
    <w:rsid w:val="002A6560"/>
    <w:rsid w:val="002B0585"/>
    <w:rsid w:val="002B4E75"/>
    <w:rsid w:val="002D2C0A"/>
    <w:rsid w:val="002E5544"/>
    <w:rsid w:val="002F15E8"/>
    <w:rsid w:val="003061BE"/>
    <w:rsid w:val="003741DD"/>
    <w:rsid w:val="0037450A"/>
    <w:rsid w:val="003A6FE1"/>
    <w:rsid w:val="003B243F"/>
    <w:rsid w:val="003C27DD"/>
    <w:rsid w:val="003C4972"/>
    <w:rsid w:val="003E2F81"/>
    <w:rsid w:val="003E6A9D"/>
    <w:rsid w:val="003F125D"/>
    <w:rsid w:val="00425F80"/>
    <w:rsid w:val="0043144F"/>
    <w:rsid w:val="00433E6D"/>
    <w:rsid w:val="00445D84"/>
    <w:rsid w:val="0046491B"/>
    <w:rsid w:val="00470E4B"/>
    <w:rsid w:val="0048159B"/>
    <w:rsid w:val="00495EA9"/>
    <w:rsid w:val="004A37FE"/>
    <w:rsid w:val="004D76F0"/>
    <w:rsid w:val="005012EC"/>
    <w:rsid w:val="00522F46"/>
    <w:rsid w:val="00523E1D"/>
    <w:rsid w:val="0053176C"/>
    <w:rsid w:val="00534949"/>
    <w:rsid w:val="00540299"/>
    <w:rsid w:val="00544F92"/>
    <w:rsid w:val="00554F11"/>
    <w:rsid w:val="0056110B"/>
    <w:rsid w:val="005651F1"/>
    <w:rsid w:val="00567891"/>
    <w:rsid w:val="00572B54"/>
    <w:rsid w:val="00597432"/>
    <w:rsid w:val="00597BAE"/>
    <w:rsid w:val="005A2603"/>
    <w:rsid w:val="005F3D31"/>
    <w:rsid w:val="00620E14"/>
    <w:rsid w:val="00627AF4"/>
    <w:rsid w:val="006474A8"/>
    <w:rsid w:val="00690D3B"/>
    <w:rsid w:val="006944F6"/>
    <w:rsid w:val="006A236E"/>
    <w:rsid w:val="006B2808"/>
    <w:rsid w:val="006B2B15"/>
    <w:rsid w:val="006B5C36"/>
    <w:rsid w:val="006C1473"/>
    <w:rsid w:val="006C66A7"/>
    <w:rsid w:val="006D3900"/>
    <w:rsid w:val="006E4E03"/>
    <w:rsid w:val="006F3578"/>
    <w:rsid w:val="00706881"/>
    <w:rsid w:val="00716195"/>
    <w:rsid w:val="00742D30"/>
    <w:rsid w:val="007542B8"/>
    <w:rsid w:val="007717E1"/>
    <w:rsid w:val="007757C4"/>
    <w:rsid w:val="007812BA"/>
    <w:rsid w:val="007A1C97"/>
    <w:rsid w:val="007A4622"/>
    <w:rsid w:val="007A5BF0"/>
    <w:rsid w:val="007B1477"/>
    <w:rsid w:val="007C4B73"/>
    <w:rsid w:val="007C5D43"/>
    <w:rsid w:val="007C7435"/>
    <w:rsid w:val="007D5935"/>
    <w:rsid w:val="007D6667"/>
    <w:rsid w:val="007F3109"/>
    <w:rsid w:val="00801B36"/>
    <w:rsid w:val="00806052"/>
    <w:rsid w:val="00820601"/>
    <w:rsid w:val="00821CFB"/>
    <w:rsid w:val="008574A2"/>
    <w:rsid w:val="00865FF5"/>
    <w:rsid w:val="00867673"/>
    <w:rsid w:val="00894D4A"/>
    <w:rsid w:val="008A1D55"/>
    <w:rsid w:val="008A382D"/>
    <w:rsid w:val="008B011A"/>
    <w:rsid w:val="008B602B"/>
    <w:rsid w:val="008B69DF"/>
    <w:rsid w:val="008E1893"/>
    <w:rsid w:val="009134AC"/>
    <w:rsid w:val="00915673"/>
    <w:rsid w:val="00922794"/>
    <w:rsid w:val="00930B08"/>
    <w:rsid w:val="009362CE"/>
    <w:rsid w:val="009416B2"/>
    <w:rsid w:val="00943E62"/>
    <w:rsid w:val="009512A1"/>
    <w:rsid w:val="009524F5"/>
    <w:rsid w:val="009756C0"/>
    <w:rsid w:val="00994444"/>
    <w:rsid w:val="00994B02"/>
    <w:rsid w:val="00995460"/>
    <w:rsid w:val="009B3356"/>
    <w:rsid w:val="009B72D9"/>
    <w:rsid w:val="009C7A92"/>
    <w:rsid w:val="009F5E16"/>
    <w:rsid w:val="009F5EFD"/>
    <w:rsid w:val="00A078C9"/>
    <w:rsid w:val="00A14332"/>
    <w:rsid w:val="00A17951"/>
    <w:rsid w:val="00A3503C"/>
    <w:rsid w:val="00A66FA1"/>
    <w:rsid w:val="00A734C5"/>
    <w:rsid w:val="00A77122"/>
    <w:rsid w:val="00AA210C"/>
    <w:rsid w:val="00AB0A0A"/>
    <w:rsid w:val="00AB609F"/>
    <w:rsid w:val="00AB636B"/>
    <w:rsid w:val="00AC4067"/>
    <w:rsid w:val="00AD0BAC"/>
    <w:rsid w:val="00B02CF3"/>
    <w:rsid w:val="00B16A63"/>
    <w:rsid w:val="00B77CAD"/>
    <w:rsid w:val="00B8467B"/>
    <w:rsid w:val="00B85DB2"/>
    <w:rsid w:val="00B90194"/>
    <w:rsid w:val="00BA7710"/>
    <w:rsid w:val="00BB5192"/>
    <w:rsid w:val="00BD0AED"/>
    <w:rsid w:val="00BD4459"/>
    <w:rsid w:val="00BE455F"/>
    <w:rsid w:val="00C030CD"/>
    <w:rsid w:val="00C1048F"/>
    <w:rsid w:val="00C10E17"/>
    <w:rsid w:val="00C4094A"/>
    <w:rsid w:val="00C46DF6"/>
    <w:rsid w:val="00C47273"/>
    <w:rsid w:val="00CB2E42"/>
    <w:rsid w:val="00CB6B94"/>
    <w:rsid w:val="00CC45A4"/>
    <w:rsid w:val="00CE2D5C"/>
    <w:rsid w:val="00CF188B"/>
    <w:rsid w:val="00D01F60"/>
    <w:rsid w:val="00D10A25"/>
    <w:rsid w:val="00D35BF9"/>
    <w:rsid w:val="00D50F3A"/>
    <w:rsid w:val="00D62A25"/>
    <w:rsid w:val="00D6656D"/>
    <w:rsid w:val="00D77299"/>
    <w:rsid w:val="00D807FD"/>
    <w:rsid w:val="00D8669E"/>
    <w:rsid w:val="00D920B9"/>
    <w:rsid w:val="00D92791"/>
    <w:rsid w:val="00D960BE"/>
    <w:rsid w:val="00DA3FA8"/>
    <w:rsid w:val="00DE1D21"/>
    <w:rsid w:val="00E00753"/>
    <w:rsid w:val="00E0081E"/>
    <w:rsid w:val="00E07ECC"/>
    <w:rsid w:val="00E44948"/>
    <w:rsid w:val="00E72EDD"/>
    <w:rsid w:val="00E92134"/>
    <w:rsid w:val="00EB2632"/>
    <w:rsid w:val="00EB5BC1"/>
    <w:rsid w:val="00EC2DBF"/>
    <w:rsid w:val="00ED356A"/>
    <w:rsid w:val="00EE4352"/>
    <w:rsid w:val="00F31AD6"/>
    <w:rsid w:val="00F550FC"/>
    <w:rsid w:val="00F606A7"/>
    <w:rsid w:val="00F632E3"/>
    <w:rsid w:val="00F81B0A"/>
    <w:rsid w:val="00FA2D61"/>
    <w:rsid w:val="00FC3A11"/>
    <w:rsid w:val="00FD41AB"/>
    <w:rsid w:val="00FE21E8"/>
    <w:rsid w:val="00FF1DAE"/>
    <w:rsid w:val="015B3B3C"/>
    <w:rsid w:val="040C5612"/>
    <w:rsid w:val="04CE488A"/>
    <w:rsid w:val="04F2372E"/>
    <w:rsid w:val="056A7068"/>
    <w:rsid w:val="069B49E3"/>
    <w:rsid w:val="07EA7D9C"/>
    <w:rsid w:val="082038E6"/>
    <w:rsid w:val="085B4621"/>
    <w:rsid w:val="0A533A96"/>
    <w:rsid w:val="0AAB1485"/>
    <w:rsid w:val="0C59090E"/>
    <w:rsid w:val="0CF550D2"/>
    <w:rsid w:val="0E5E445C"/>
    <w:rsid w:val="0EFF5127"/>
    <w:rsid w:val="0F1550CD"/>
    <w:rsid w:val="0F7D412B"/>
    <w:rsid w:val="0F9A2DA7"/>
    <w:rsid w:val="0FE30C1D"/>
    <w:rsid w:val="118F5E03"/>
    <w:rsid w:val="12656B61"/>
    <w:rsid w:val="133A628D"/>
    <w:rsid w:val="14977CD7"/>
    <w:rsid w:val="14F32FED"/>
    <w:rsid w:val="15BD7ABA"/>
    <w:rsid w:val="165274EE"/>
    <w:rsid w:val="16EEF383"/>
    <w:rsid w:val="17EFFF15"/>
    <w:rsid w:val="189F2D30"/>
    <w:rsid w:val="19414DFD"/>
    <w:rsid w:val="19B17215"/>
    <w:rsid w:val="1A2608F3"/>
    <w:rsid w:val="1BEE7EDE"/>
    <w:rsid w:val="1C2361BA"/>
    <w:rsid w:val="1D1F1F14"/>
    <w:rsid w:val="1DF75EF5"/>
    <w:rsid w:val="1E482A55"/>
    <w:rsid w:val="1E636FFE"/>
    <w:rsid w:val="1F99C57A"/>
    <w:rsid w:val="20361E67"/>
    <w:rsid w:val="23241CBD"/>
    <w:rsid w:val="245D2237"/>
    <w:rsid w:val="25BA505E"/>
    <w:rsid w:val="266711AD"/>
    <w:rsid w:val="27615D27"/>
    <w:rsid w:val="2AE213EA"/>
    <w:rsid w:val="2B756DE5"/>
    <w:rsid w:val="2D292948"/>
    <w:rsid w:val="2D9C2FA7"/>
    <w:rsid w:val="2F6A5E9C"/>
    <w:rsid w:val="2FFEE7F3"/>
    <w:rsid w:val="300F57AC"/>
    <w:rsid w:val="303D4E30"/>
    <w:rsid w:val="31400D25"/>
    <w:rsid w:val="31C439B2"/>
    <w:rsid w:val="31F30D83"/>
    <w:rsid w:val="32C33AD2"/>
    <w:rsid w:val="33543E75"/>
    <w:rsid w:val="340A2CBE"/>
    <w:rsid w:val="342B7A93"/>
    <w:rsid w:val="348B636C"/>
    <w:rsid w:val="35384E81"/>
    <w:rsid w:val="3B4C68CF"/>
    <w:rsid w:val="3BBC3132"/>
    <w:rsid w:val="3C6B0E3C"/>
    <w:rsid w:val="3C704C09"/>
    <w:rsid w:val="3CA83D41"/>
    <w:rsid w:val="3CBF6A4E"/>
    <w:rsid w:val="3CDF116D"/>
    <w:rsid w:val="3D0038A0"/>
    <w:rsid w:val="3E7F61D0"/>
    <w:rsid w:val="3EFF29A3"/>
    <w:rsid w:val="3F64500F"/>
    <w:rsid w:val="3FAA14B8"/>
    <w:rsid w:val="40114B61"/>
    <w:rsid w:val="41267268"/>
    <w:rsid w:val="41FA262C"/>
    <w:rsid w:val="43B91A0C"/>
    <w:rsid w:val="46B95C45"/>
    <w:rsid w:val="46E668C4"/>
    <w:rsid w:val="47DD27F9"/>
    <w:rsid w:val="49305A53"/>
    <w:rsid w:val="49455632"/>
    <w:rsid w:val="4967733E"/>
    <w:rsid w:val="49D278FD"/>
    <w:rsid w:val="4C136D83"/>
    <w:rsid w:val="4C5C0FBC"/>
    <w:rsid w:val="4D2607A2"/>
    <w:rsid w:val="4DE66AD8"/>
    <w:rsid w:val="4ED0FACE"/>
    <w:rsid w:val="4F17621C"/>
    <w:rsid w:val="4F77345C"/>
    <w:rsid w:val="50915E85"/>
    <w:rsid w:val="519E6192"/>
    <w:rsid w:val="53BA4111"/>
    <w:rsid w:val="55847C28"/>
    <w:rsid w:val="55A57709"/>
    <w:rsid w:val="577F075D"/>
    <w:rsid w:val="57AC2D1D"/>
    <w:rsid w:val="57BB0BB5"/>
    <w:rsid w:val="57CF1BB0"/>
    <w:rsid w:val="57DFC17C"/>
    <w:rsid w:val="57FF7E29"/>
    <w:rsid w:val="58CD3E63"/>
    <w:rsid w:val="58FD19A6"/>
    <w:rsid w:val="5A2519F4"/>
    <w:rsid w:val="5A3E3D92"/>
    <w:rsid w:val="5AA46F1B"/>
    <w:rsid w:val="5B507A5E"/>
    <w:rsid w:val="5B9B6460"/>
    <w:rsid w:val="5BC71DA9"/>
    <w:rsid w:val="5CB702A9"/>
    <w:rsid w:val="5D3C80BE"/>
    <w:rsid w:val="5DE78D5A"/>
    <w:rsid w:val="5F16108D"/>
    <w:rsid w:val="5F9BA427"/>
    <w:rsid w:val="5FBBF886"/>
    <w:rsid w:val="5FCBA390"/>
    <w:rsid w:val="5FD92450"/>
    <w:rsid w:val="5FFF814E"/>
    <w:rsid w:val="60515592"/>
    <w:rsid w:val="615B3A03"/>
    <w:rsid w:val="62811A7E"/>
    <w:rsid w:val="64216503"/>
    <w:rsid w:val="64837576"/>
    <w:rsid w:val="654B3C78"/>
    <w:rsid w:val="67706CC4"/>
    <w:rsid w:val="67CA11B4"/>
    <w:rsid w:val="67CB6AFC"/>
    <w:rsid w:val="68780B98"/>
    <w:rsid w:val="68B51559"/>
    <w:rsid w:val="69460330"/>
    <w:rsid w:val="6ABD29C8"/>
    <w:rsid w:val="6C4155C9"/>
    <w:rsid w:val="6CDA5DEB"/>
    <w:rsid w:val="6CF70DA9"/>
    <w:rsid w:val="6DDA7242"/>
    <w:rsid w:val="6EA975E4"/>
    <w:rsid w:val="6ED2525C"/>
    <w:rsid w:val="6EDFE891"/>
    <w:rsid w:val="6F0E0299"/>
    <w:rsid w:val="6F882B81"/>
    <w:rsid w:val="6FAF1A4D"/>
    <w:rsid w:val="6FBFE4DF"/>
    <w:rsid w:val="706978FC"/>
    <w:rsid w:val="712B0EDE"/>
    <w:rsid w:val="7158389E"/>
    <w:rsid w:val="73F57BAE"/>
    <w:rsid w:val="73FD7457"/>
    <w:rsid w:val="741C5DD1"/>
    <w:rsid w:val="747931FB"/>
    <w:rsid w:val="748F8713"/>
    <w:rsid w:val="7500556C"/>
    <w:rsid w:val="75770542"/>
    <w:rsid w:val="75E85342"/>
    <w:rsid w:val="76834FE4"/>
    <w:rsid w:val="771A1940"/>
    <w:rsid w:val="77E6148D"/>
    <w:rsid w:val="77EC3455"/>
    <w:rsid w:val="77F7F9A8"/>
    <w:rsid w:val="7850529E"/>
    <w:rsid w:val="7963423E"/>
    <w:rsid w:val="79C92A56"/>
    <w:rsid w:val="79EE6F53"/>
    <w:rsid w:val="79FCCCF4"/>
    <w:rsid w:val="7A2250EE"/>
    <w:rsid w:val="7A9A4CC5"/>
    <w:rsid w:val="7ADF89EE"/>
    <w:rsid w:val="7BEFD6D1"/>
    <w:rsid w:val="7BF70B8B"/>
    <w:rsid w:val="7BFDF248"/>
    <w:rsid w:val="7CF62DD9"/>
    <w:rsid w:val="7D2D4E7E"/>
    <w:rsid w:val="7D7B1A4C"/>
    <w:rsid w:val="7DDE0D3D"/>
    <w:rsid w:val="7DFE4B5C"/>
    <w:rsid w:val="7EC84842"/>
    <w:rsid w:val="7EE44519"/>
    <w:rsid w:val="7F7FCFD6"/>
    <w:rsid w:val="7FC545EA"/>
    <w:rsid w:val="7FCE288F"/>
    <w:rsid w:val="7FFD8AFC"/>
    <w:rsid w:val="7FFFB97D"/>
    <w:rsid w:val="93FF1261"/>
    <w:rsid w:val="9A0FF90A"/>
    <w:rsid w:val="B7BF32EC"/>
    <w:rsid w:val="B7DB122F"/>
    <w:rsid w:val="BD77A868"/>
    <w:rsid w:val="BE6ED81D"/>
    <w:rsid w:val="BEE94D39"/>
    <w:rsid w:val="BEF659DD"/>
    <w:rsid w:val="BF3F179C"/>
    <w:rsid w:val="C7AD73DF"/>
    <w:rsid w:val="CAB3A302"/>
    <w:rsid w:val="D958E36C"/>
    <w:rsid w:val="DCAF5E30"/>
    <w:rsid w:val="DEFE6BFF"/>
    <w:rsid w:val="DF4682B1"/>
    <w:rsid w:val="DFEB11BF"/>
    <w:rsid w:val="E3E7C418"/>
    <w:rsid w:val="E9760C86"/>
    <w:rsid w:val="EBDE6C77"/>
    <w:rsid w:val="ED7E0A17"/>
    <w:rsid w:val="EFBD78E6"/>
    <w:rsid w:val="EFFDEC51"/>
    <w:rsid w:val="F55F19BF"/>
    <w:rsid w:val="F7C7CE55"/>
    <w:rsid w:val="F7FBFCA3"/>
    <w:rsid w:val="FABF296A"/>
    <w:rsid w:val="FB7F68AD"/>
    <w:rsid w:val="FDCFA856"/>
    <w:rsid w:val="FE7F6E39"/>
    <w:rsid w:val="FEAEE01D"/>
    <w:rsid w:val="FEF57FFC"/>
    <w:rsid w:val="FEF7AFE7"/>
    <w:rsid w:val="FFDF83B4"/>
    <w:rsid w:val="FFEF2E5A"/>
    <w:rsid w:val="FFFD2722"/>
    <w:rsid w:val="FFFF85E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pBdr>
        <w:top w:val="none" w:color="auto" w:sz="0" w:space="1"/>
        <w:left w:val="none" w:color="auto" w:sz="0" w:space="3"/>
        <w:bottom w:val="none" w:color="auto" w:sz="0" w:space="2"/>
        <w:right w:val="none" w:color="auto" w:sz="0" w:space="4"/>
      </w:pBdr>
      <w:ind w:firstLine="200" w:firstLineChars="200"/>
      <w:outlineLvl w:val="0"/>
    </w:pPr>
    <w:rPr>
      <w:rFonts w:ascii="黑体" w:hAnsi="黑体" w:eastAsia="黑体" w:cs="宋体"/>
      <w:bCs/>
      <w:kern w:val="0"/>
      <w:sz w:val="32"/>
      <w:szCs w:val="32"/>
    </w:rPr>
  </w:style>
  <w:style w:type="paragraph" w:styleId="3">
    <w:name w:val="heading 2"/>
    <w:basedOn w:val="1"/>
    <w:next w:val="1"/>
    <w:link w:val="13"/>
    <w:unhideWhenUsed/>
    <w:qFormat/>
    <w:uiPriority w:val="0"/>
    <w:pPr>
      <w:widowControl/>
      <w:pBdr>
        <w:top w:val="none" w:color="auto" w:sz="0" w:space="1"/>
        <w:bottom w:val="none" w:color="auto" w:sz="0" w:space="2"/>
        <w:right w:val="none" w:color="auto" w:sz="0" w:space="4"/>
      </w:pBdr>
      <w:ind w:firstLine="643" w:firstLineChars="200"/>
      <w:outlineLvl w:val="1"/>
    </w:pPr>
    <w:rPr>
      <w:rFonts w:ascii="楷体" w:hAnsi="楷体" w:eastAsia="楷体" w:cs="宋体"/>
      <w:b/>
      <w:kern w:val="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18"/>
    <w:unhideWhenUsed/>
    <w:qFormat/>
    <w:uiPriority w:val="0"/>
    <w:rPr>
      <w:b/>
      <w:bCs/>
    </w:rPr>
  </w:style>
  <w:style w:type="paragraph" w:styleId="5">
    <w:name w:val="annotation text"/>
    <w:basedOn w:val="1"/>
    <w:link w:val="17"/>
    <w:unhideWhenUsed/>
    <w:qFormat/>
    <w:uiPriority w:val="0"/>
    <w:pPr>
      <w:jc w:val="left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unhideWhenUsed/>
    <w:qFormat/>
    <w:uiPriority w:val="0"/>
    <w:rPr>
      <w:sz w:val="21"/>
      <w:szCs w:val="21"/>
    </w:rPr>
  </w:style>
  <w:style w:type="character" w:customStyle="1" w:styleId="12">
    <w:name w:val="标题 1 Char"/>
    <w:link w:val="2"/>
    <w:qFormat/>
    <w:uiPriority w:val="0"/>
    <w:rPr>
      <w:rFonts w:ascii="黑体" w:hAnsi="黑体" w:eastAsia="黑体" w:cs="宋体"/>
      <w:bCs/>
      <w:kern w:val="0"/>
      <w:sz w:val="32"/>
      <w:szCs w:val="32"/>
    </w:rPr>
  </w:style>
  <w:style w:type="character" w:customStyle="1" w:styleId="13">
    <w:name w:val="标题 2 Char"/>
    <w:link w:val="3"/>
    <w:qFormat/>
    <w:uiPriority w:val="0"/>
    <w:rPr>
      <w:rFonts w:ascii="楷体" w:hAnsi="楷体" w:eastAsia="楷体" w:cs="宋体"/>
      <w:b/>
      <w:kern w:val="0"/>
      <w:sz w:val="32"/>
      <w:szCs w:val="32"/>
    </w:rPr>
  </w:style>
  <w:style w:type="character" w:customStyle="1" w:styleId="14">
    <w:name w:val="页脚 Char"/>
    <w:link w:val="7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页眉 Char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link w:val="5"/>
    <w:semiHidden/>
    <w:qFormat/>
    <w:uiPriority w:val="0"/>
    <w:rPr>
      <w:rFonts w:ascii="Times New Roman" w:hAnsi="Times New Roman" w:cs="Times New Roman"/>
      <w:kern w:val="2"/>
      <w:sz w:val="21"/>
    </w:rPr>
  </w:style>
  <w:style w:type="character" w:customStyle="1" w:styleId="18">
    <w:name w:val="批注主题 Char"/>
    <w:link w:val="4"/>
    <w:semiHidden/>
    <w:qFormat/>
    <w:uiPriority w:val="0"/>
    <w:rPr>
      <w:rFonts w:ascii="Times New Roman" w:hAnsi="Times New Roman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985</Words>
  <Characters>5619</Characters>
  <Lines>46</Lines>
  <Paragraphs>13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2018-12-26T02:52:00Z</dcterms:created>
  <dc:creator>HX</dc:creator>
  <cp:lastModifiedBy>PengYiran</cp:lastModifiedBy>
  <cp:lastPrinted>2018-12-25T19:52:00Z</cp:lastPrinted>
  <dcterms:modified xsi:type="dcterms:W3CDTF">2018-12-27T09:38:18Z</dcterms:modified>
  <dc:title>车联网（智能网联汽车）产业发展三年行动计划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